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D3761E" w:rsidRDefault="0030269A" w:rsidP="00F073C0">
      <w:pPr>
        <w:spacing w:before="0" w:after="0"/>
      </w:pPr>
    </w:p>
    <w:tbl>
      <w:tblPr>
        <w:tblStyle w:val="Grilledutableau"/>
        <w:tblW w:w="0" w:type="auto"/>
        <w:tblLook w:val="04A0" w:firstRow="1" w:lastRow="0" w:firstColumn="1" w:lastColumn="0" w:noHBand="0" w:noVBand="1"/>
      </w:tblPr>
      <w:tblGrid>
        <w:gridCol w:w="2695"/>
        <w:gridCol w:w="7375"/>
      </w:tblGrid>
      <w:tr w:rsidR="0030269A" w:rsidRPr="00D3761E" w14:paraId="7217D512" w14:textId="77777777" w:rsidTr="00155FC1">
        <w:tc>
          <w:tcPr>
            <w:tcW w:w="2695" w:type="dxa"/>
          </w:tcPr>
          <w:p w14:paraId="51ED1B04" w14:textId="046C9D42" w:rsidR="0030269A" w:rsidRPr="00D3761E" w:rsidRDefault="0030269A" w:rsidP="00F073C0">
            <w:pPr>
              <w:spacing w:before="60" w:after="60"/>
              <w:rPr>
                <w:b/>
              </w:rPr>
            </w:pPr>
            <w:r w:rsidRPr="00D3761E">
              <w:rPr>
                <w:b/>
              </w:rPr>
              <w:t>Tit</w:t>
            </w:r>
            <w:r w:rsidR="00ED30D3" w:rsidRPr="00D3761E">
              <w:rPr>
                <w:b/>
              </w:rPr>
              <w:t>r</w:t>
            </w:r>
            <w:r w:rsidRPr="00D3761E">
              <w:rPr>
                <w:b/>
              </w:rPr>
              <w:t>e</w:t>
            </w:r>
          </w:p>
        </w:tc>
        <w:tc>
          <w:tcPr>
            <w:tcW w:w="7375" w:type="dxa"/>
          </w:tcPr>
          <w:p w14:paraId="10323B41" w14:textId="506E1182" w:rsidR="0030269A" w:rsidRPr="00D3761E" w:rsidRDefault="009C5F10" w:rsidP="00F073C0">
            <w:pPr>
              <w:spacing w:before="60" w:after="60"/>
            </w:pPr>
            <w:r w:rsidRPr="00D3761E">
              <w:t>Recherche exigeant une évaluation du CER</w:t>
            </w:r>
          </w:p>
        </w:tc>
      </w:tr>
      <w:tr w:rsidR="0030269A" w:rsidRPr="00D3761E" w14:paraId="19DC661E" w14:textId="77777777" w:rsidTr="00155FC1">
        <w:tc>
          <w:tcPr>
            <w:tcW w:w="2695" w:type="dxa"/>
          </w:tcPr>
          <w:p w14:paraId="1756170B" w14:textId="5AC04AE5" w:rsidR="0030269A" w:rsidRPr="00D3761E" w:rsidRDefault="0030269A" w:rsidP="00F073C0">
            <w:pPr>
              <w:spacing w:before="60" w:after="60"/>
              <w:rPr>
                <w:b/>
              </w:rPr>
            </w:pPr>
            <w:r w:rsidRPr="00D3761E">
              <w:rPr>
                <w:b/>
              </w:rPr>
              <w:t>Code</w:t>
            </w:r>
            <w:r w:rsidR="00ED30D3" w:rsidRPr="00D3761E">
              <w:rPr>
                <w:b/>
              </w:rPr>
              <w:t xml:space="preserve"> MON</w:t>
            </w:r>
          </w:p>
        </w:tc>
        <w:tc>
          <w:tcPr>
            <w:tcW w:w="7375" w:type="dxa"/>
          </w:tcPr>
          <w:p w14:paraId="5CBEAC14" w14:textId="7885AA20" w:rsidR="0030269A" w:rsidRPr="00D3761E" w:rsidRDefault="00ED30D3" w:rsidP="00F073C0">
            <w:pPr>
              <w:spacing w:before="60" w:after="60"/>
            </w:pPr>
            <w:r w:rsidRPr="00D3761E">
              <w:t>MON-CÉR</w:t>
            </w:r>
            <w:r w:rsidR="00DC6E5F" w:rsidRPr="00D3761E">
              <w:t> </w:t>
            </w:r>
            <w:r w:rsidR="00DD1A74" w:rsidRPr="00D3761E">
              <w:t>102.001</w:t>
            </w:r>
          </w:p>
        </w:tc>
      </w:tr>
      <w:tr w:rsidR="0030269A" w:rsidRPr="00D3761E" w14:paraId="4FE41B28" w14:textId="77777777" w:rsidTr="00155FC1">
        <w:tc>
          <w:tcPr>
            <w:tcW w:w="2695" w:type="dxa"/>
          </w:tcPr>
          <w:p w14:paraId="37464120" w14:textId="4ADCEECE" w:rsidR="0030269A" w:rsidRPr="00D3761E" w:rsidRDefault="2399C66D" w:rsidP="00F073C0">
            <w:pPr>
              <w:spacing w:before="60" w:after="60"/>
              <w:rPr>
                <w:b/>
                <w:bCs/>
              </w:rPr>
            </w:pPr>
            <w:r w:rsidRPr="00D3761E">
              <w:rPr>
                <w:b/>
                <w:bCs/>
              </w:rPr>
              <w:t>Code MON N2/</w:t>
            </w:r>
            <w:r w:rsidRPr="00D3761E">
              <w:rPr>
                <w:rFonts w:cs="Calibri"/>
                <w:b/>
                <w:bCs/>
              </w:rPr>
              <w:t>ACCER</w:t>
            </w:r>
          </w:p>
        </w:tc>
        <w:tc>
          <w:tcPr>
            <w:tcW w:w="7375" w:type="dxa"/>
          </w:tcPr>
          <w:p w14:paraId="1D3D3342" w14:textId="401A9A8F" w:rsidR="0030269A" w:rsidRPr="00D3761E" w:rsidRDefault="00ED30D3" w:rsidP="00F073C0">
            <w:pPr>
              <w:spacing w:before="60" w:after="60"/>
            </w:pPr>
            <w:r w:rsidRPr="00D3761E">
              <w:t>MON</w:t>
            </w:r>
            <w:r w:rsidR="00DD1A74" w:rsidRPr="00D3761E">
              <w:t xml:space="preserve"> 102.002</w:t>
            </w:r>
          </w:p>
        </w:tc>
      </w:tr>
      <w:tr w:rsidR="0030269A" w:rsidRPr="00D3761E" w14:paraId="15EAAB06" w14:textId="77777777" w:rsidTr="00155FC1">
        <w:tc>
          <w:tcPr>
            <w:tcW w:w="2695" w:type="dxa"/>
          </w:tcPr>
          <w:p w14:paraId="7CF29F80" w14:textId="23207FA0" w:rsidR="0030269A" w:rsidRPr="00D3761E" w:rsidRDefault="0030269A" w:rsidP="00F073C0">
            <w:pPr>
              <w:spacing w:before="60" w:after="60"/>
              <w:rPr>
                <w:b/>
              </w:rPr>
            </w:pPr>
            <w:r w:rsidRPr="00D3761E">
              <w:rPr>
                <w:b/>
              </w:rPr>
              <w:t>E</w:t>
            </w:r>
            <w:r w:rsidR="00ED30D3" w:rsidRPr="00D3761E">
              <w:rPr>
                <w:b/>
              </w:rPr>
              <w:t>ntrée en vigueur</w:t>
            </w:r>
          </w:p>
        </w:tc>
        <w:tc>
          <w:tcPr>
            <w:tcW w:w="7375" w:type="dxa"/>
          </w:tcPr>
          <w:p w14:paraId="02DDE6C4" w14:textId="6A5D62A7" w:rsidR="0030269A" w:rsidRPr="00D3761E" w:rsidRDefault="0081179B" w:rsidP="00F073C0">
            <w:pPr>
              <w:spacing w:before="60" w:after="60"/>
            </w:pPr>
            <w:r>
              <w:t>2</w:t>
            </w:r>
            <w:r>
              <w:t>020-01-31</w:t>
            </w:r>
          </w:p>
        </w:tc>
      </w:tr>
    </w:tbl>
    <w:p w14:paraId="66AFB309" w14:textId="622B4580" w:rsidR="0030269A" w:rsidRPr="00D3761E" w:rsidRDefault="0030269A" w:rsidP="00F073C0"/>
    <w:tbl>
      <w:tblPr>
        <w:tblStyle w:val="Grilledutableau"/>
        <w:tblW w:w="0" w:type="auto"/>
        <w:tblLook w:val="04A0" w:firstRow="1" w:lastRow="0" w:firstColumn="1" w:lastColumn="0" w:noHBand="0" w:noVBand="1"/>
      </w:tblPr>
      <w:tblGrid>
        <w:gridCol w:w="2695"/>
        <w:gridCol w:w="5097"/>
        <w:gridCol w:w="2206"/>
      </w:tblGrid>
      <w:tr w:rsidR="0030269A" w:rsidRPr="00D3761E" w14:paraId="557D9D60" w14:textId="77777777" w:rsidTr="00155FC1">
        <w:tc>
          <w:tcPr>
            <w:tcW w:w="2695" w:type="dxa"/>
            <w:shd w:val="clear" w:color="auto" w:fill="D9D9D9" w:themeFill="background1" w:themeFillShade="D9"/>
          </w:tcPr>
          <w:p w14:paraId="7D745767" w14:textId="6F1354A8" w:rsidR="0030269A" w:rsidRPr="00D3761E" w:rsidRDefault="0030269A" w:rsidP="00F073C0">
            <w:pPr>
              <w:spacing w:before="60" w:after="60"/>
              <w:jc w:val="center"/>
              <w:rPr>
                <w:b/>
              </w:rPr>
            </w:pPr>
            <w:r w:rsidRPr="00D3761E">
              <w:rPr>
                <w:b/>
              </w:rPr>
              <w:t>Statu</w:t>
            </w:r>
            <w:r w:rsidR="00ED30D3" w:rsidRPr="00D3761E">
              <w:rPr>
                <w:b/>
              </w:rPr>
              <w:t>t</w:t>
            </w:r>
          </w:p>
        </w:tc>
        <w:tc>
          <w:tcPr>
            <w:tcW w:w="5097" w:type="dxa"/>
            <w:shd w:val="clear" w:color="auto" w:fill="D9D9D9" w:themeFill="background1" w:themeFillShade="D9"/>
          </w:tcPr>
          <w:p w14:paraId="734A0346" w14:textId="3F36784D" w:rsidR="0030269A" w:rsidRPr="00D3761E" w:rsidRDefault="0030269A" w:rsidP="00F073C0">
            <w:pPr>
              <w:spacing w:before="60" w:after="60"/>
              <w:jc w:val="center"/>
              <w:rPr>
                <w:b/>
              </w:rPr>
            </w:pPr>
            <w:r w:rsidRPr="00D3761E">
              <w:rPr>
                <w:b/>
              </w:rPr>
              <w:t>N</w:t>
            </w:r>
            <w:r w:rsidR="00ED30D3" w:rsidRPr="00D3761E">
              <w:rPr>
                <w:b/>
              </w:rPr>
              <w:t>om et titre</w:t>
            </w:r>
          </w:p>
        </w:tc>
        <w:tc>
          <w:tcPr>
            <w:tcW w:w="2206" w:type="dxa"/>
            <w:shd w:val="clear" w:color="auto" w:fill="D9D9D9" w:themeFill="background1" w:themeFillShade="D9"/>
          </w:tcPr>
          <w:p w14:paraId="796C942E" w14:textId="3C89EC5E" w:rsidR="0030269A" w:rsidRPr="00D3761E" w:rsidRDefault="0030269A" w:rsidP="00F073C0">
            <w:pPr>
              <w:spacing w:before="60" w:after="60"/>
              <w:jc w:val="center"/>
              <w:rPr>
                <w:b/>
              </w:rPr>
            </w:pPr>
            <w:r w:rsidRPr="00D3761E">
              <w:rPr>
                <w:b/>
              </w:rPr>
              <w:t>Date</w:t>
            </w:r>
          </w:p>
        </w:tc>
      </w:tr>
      <w:tr w:rsidR="00155FC1" w:rsidRPr="00D3761E" w14:paraId="03AC1D31" w14:textId="77777777" w:rsidTr="00155FC1">
        <w:tc>
          <w:tcPr>
            <w:tcW w:w="2695" w:type="dxa"/>
          </w:tcPr>
          <w:p w14:paraId="4F0B3EAC" w14:textId="5786EF1B" w:rsidR="00155FC1" w:rsidRPr="00D3761E" w:rsidRDefault="00155FC1" w:rsidP="00155FC1">
            <w:pPr>
              <w:spacing w:before="60" w:after="60"/>
              <w:jc w:val="left"/>
              <w:rPr>
                <w:b/>
                <w:i/>
                <w:highlight w:val="yellow"/>
              </w:rPr>
            </w:pPr>
            <w:r w:rsidRPr="00D3761E">
              <w:rPr>
                <w:b/>
                <w:i/>
              </w:rPr>
              <w:t>Auteur</w:t>
            </w:r>
            <w:r>
              <w:rPr>
                <w:b/>
                <w:i/>
              </w:rPr>
              <w:t xml:space="preserve"> </w:t>
            </w:r>
            <w:r w:rsidRPr="00155FC1">
              <w:rPr>
                <w:b/>
                <w:i/>
              </w:rPr>
              <w:t>modèle harmonisé</w:t>
            </w:r>
          </w:p>
        </w:tc>
        <w:tc>
          <w:tcPr>
            <w:tcW w:w="5097" w:type="dxa"/>
          </w:tcPr>
          <w:p w14:paraId="7D701B4E" w14:textId="6DD69C87" w:rsidR="00155FC1" w:rsidRPr="00D3761E" w:rsidRDefault="00155FC1" w:rsidP="00155FC1">
            <w:pPr>
              <w:spacing w:before="60" w:after="60"/>
            </w:pPr>
            <w:r w:rsidRPr="009C3D4B">
              <w:t>MON, CÉR établissements</w:t>
            </w:r>
          </w:p>
        </w:tc>
        <w:tc>
          <w:tcPr>
            <w:tcW w:w="2206" w:type="dxa"/>
          </w:tcPr>
          <w:p w14:paraId="50D482D6" w14:textId="6C2D27F3" w:rsidR="00155FC1" w:rsidRPr="00D3761E" w:rsidRDefault="000951B5" w:rsidP="00155FC1">
            <w:pPr>
              <w:spacing w:before="60" w:after="60"/>
              <w:jc w:val="center"/>
            </w:pPr>
            <w:r w:rsidRPr="000951B5">
              <w:t>2019-04-01</w:t>
            </w:r>
          </w:p>
        </w:tc>
      </w:tr>
      <w:tr w:rsidR="00155FC1" w:rsidRPr="00D3761E" w14:paraId="71C296E2" w14:textId="77777777" w:rsidTr="00155FC1">
        <w:tc>
          <w:tcPr>
            <w:tcW w:w="2695" w:type="dxa"/>
          </w:tcPr>
          <w:p w14:paraId="7CE8A548" w14:textId="2EC44D6F" w:rsidR="00155FC1" w:rsidRPr="00D3761E" w:rsidRDefault="00155FC1" w:rsidP="00155FC1">
            <w:pPr>
              <w:spacing w:before="60" w:after="60"/>
              <w:rPr>
                <w:b/>
                <w:i/>
                <w:highlight w:val="yellow"/>
              </w:rPr>
            </w:pPr>
            <w:r w:rsidRPr="00D3761E">
              <w:rPr>
                <w:b/>
                <w:i/>
              </w:rPr>
              <w:t>Approuvé</w:t>
            </w:r>
          </w:p>
        </w:tc>
        <w:tc>
          <w:tcPr>
            <w:tcW w:w="5097" w:type="dxa"/>
          </w:tcPr>
          <w:p w14:paraId="0419BC1D" w14:textId="23520C57" w:rsidR="00155FC1" w:rsidRPr="00D3761E" w:rsidRDefault="001D06CA" w:rsidP="00155FC1">
            <w:pPr>
              <w:spacing w:before="60" w:after="60"/>
            </w:pPr>
            <w:r>
              <w:t>CÉR plénier CHUSJ</w:t>
            </w:r>
          </w:p>
        </w:tc>
        <w:tc>
          <w:tcPr>
            <w:tcW w:w="2206" w:type="dxa"/>
          </w:tcPr>
          <w:p w14:paraId="6A5248E0" w14:textId="486B5C40" w:rsidR="00155FC1" w:rsidRPr="00D3761E" w:rsidRDefault="001D06CA" w:rsidP="00155FC1">
            <w:pPr>
              <w:spacing w:before="60" w:after="60"/>
              <w:jc w:val="center"/>
            </w:pPr>
            <w:r>
              <w:t>2019-05-30</w:t>
            </w:r>
          </w:p>
        </w:tc>
      </w:tr>
      <w:tr w:rsidR="00155FC1" w:rsidRPr="00D3761E" w14:paraId="26D94293" w14:textId="77777777" w:rsidTr="00155FC1">
        <w:tc>
          <w:tcPr>
            <w:tcW w:w="2695" w:type="dxa"/>
          </w:tcPr>
          <w:p w14:paraId="51235051" w14:textId="25FC3290" w:rsidR="00155FC1" w:rsidRPr="00D3761E" w:rsidRDefault="0081179B" w:rsidP="00155FC1">
            <w:pPr>
              <w:spacing w:before="60" w:after="60"/>
              <w:rPr>
                <w:b/>
                <w:i/>
                <w:highlight w:val="yellow"/>
              </w:rPr>
            </w:pPr>
            <w:r>
              <w:rPr>
                <w:b/>
                <w:bCs/>
                <w:i/>
                <w:iCs/>
              </w:rPr>
              <w:t>Adopté</w:t>
            </w:r>
          </w:p>
        </w:tc>
        <w:tc>
          <w:tcPr>
            <w:tcW w:w="5097" w:type="dxa"/>
          </w:tcPr>
          <w:p w14:paraId="52CD02C6" w14:textId="61DFF7DF" w:rsidR="00155FC1" w:rsidRPr="00D3761E" w:rsidRDefault="001D06CA" w:rsidP="00155FC1">
            <w:pPr>
              <w:spacing w:before="60" w:after="60"/>
            </w:pPr>
            <w:r>
              <w:t>CA CHUSJ</w:t>
            </w:r>
          </w:p>
        </w:tc>
        <w:tc>
          <w:tcPr>
            <w:tcW w:w="2206" w:type="dxa"/>
          </w:tcPr>
          <w:p w14:paraId="1DF04D7C" w14:textId="50DB73AF" w:rsidR="00155FC1" w:rsidRPr="00D3761E" w:rsidRDefault="0081179B" w:rsidP="00155FC1">
            <w:pPr>
              <w:spacing w:before="60" w:after="60"/>
              <w:jc w:val="center"/>
            </w:pPr>
            <w:r>
              <w:t>2020-01-30</w:t>
            </w:r>
          </w:p>
        </w:tc>
      </w:tr>
    </w:tbl>
    <w:p w14:paraId="77DBC18A" w14:textId="77777777" w:rsidR="002E18ED" w:rsidRPr="00D3761E" w:rsidRDefault="002E18ED" w:rsidP="00F073C0">
      <w:pPr>
        <w:rPr>
          <w:b/>
        </w:rPr>
      </w:pPr>
    </w:p>
    <w:p w14:paraId="449CB78E" w14:textId="708FD620" w:rsidR="0030269A" w:rsidRPr="00D3761E" w:rsidRDefault="0030269A" w:rsidP="00F073C0">
      <w:pPr>
        <w:rPr>
          <w:b/>
        </w:rPr>
      </w:pPr>
      <w:r w:rsidRPr="00D3761E">
        <w:rPr>
          <w:b/>
        </w:rPr>
        <w:t xml:space="preserve">Table </w:t>
      </w:r>
      <w:r w:rsidR="00ED30D3" w:rsidRPr="00D3761E">
        <w:rPr>
          <w:b/>
        </w:rPr>
        <w:t>des matières</w:t>
      </w:r>
    </w:p>
    <w:p w14:paraId="51FB1B16" w14:textId="6451EF8D" w:rsidR="00887921" w:rsidRDefault="0030269A">
      <w:pPr>
        <w:pStyle w:val="TM1"/>
        <w:rPr>
          <w:sz w:val="22"/>
          <w:szCs w:val="22"/>
          <w:lang w:eastAsia="fr-CA"/>
        </w:rPr>
      </w:pPr>
      <w:r w:rsidRPr="00D3761E">
        <w:rPr>
          <w:noProof w:val="0"/>
        </w:rPr>
        <w:fldChar w:fldCharType="begin"/>
      </w:r>
      <w:r w:rsidRPr="00D3761E">
        <w:rPr>
          <w:noProof w:val="0"/>
        </w:rPr>
        <w:instrText xml:space="preserve"> TOC \o "1-2" \u </w:instrText>
      </w:r>
      <w:r w:rsidRPr="00D3761E">
        <w:rPr>
          <w:noProof w:val="0"/>
        </w:rPr>
        <w:fldChar w:fldCharType="separate"/>
      </w:r>
      <w:r w:rsidR="00887921">
        <w:t>1</w:t>
      </w:r>
      <w:r w:rsidR="00887921">
        <w:rPr>
          <w:sz w:val="22"/>
          <w:szCs w:val="22"/>
          <w:lang w:eastAsia="fr-CA"/>
        </w:rPr>
        <w:tab/>
      </w:r>
      <w:r w:rsidR="00887921">
        <w:t>Objectif</w:t>
      </w:r>
      <w:r w:rsidR="00887921">
        <w:tab/>
      </w:r>
      <w:r w:rsidR="00887921">
        <w:fldChar w:fldCharType="begin"/>
      </w:r>
      <w:r w:rsidR="00887921">
        <w:instrText xml:space="preserve"> PAGEREF _Toc4418314 \h </w:instrText>
      </w:r>
      <w:r w:rsidR="00887921">
        <w:fldChar w:fldCharType="separate"/>
      </w:r>
      <w:r w:rsidR="00887921">
        <w:t>1</w:t>
      </w:r>
      <w:r w:rsidR="00887921">
        <w:fldChar w:fldCharType="end"/>
      </w:r>
    </w:p>
    <w:p w14:paraId="294B04CB" w14:textId="51C7D149" w:rsidR="00887921" w:rsidRDefault="00887921">
      <w:pPr>
        <w:pStyle w:val="TM1"/>
        <w:rPr>
          <w:sz w:val="22"/>
          <w:szCs w:val="22"/>
          <w:lang w:eastAsia="fr-CA"/>
        </w:rPr>
      </w:pPr>
      <w:r>
        <w:t>2</w:t>
      </w:r>
      <w:r>
        <w:rPr>
          <w:sz w:val="22"/>
          <w:szCs w:val="22"/>
          <w:lang w:eastAsia="fr-CA"/>
        </w:rPr>
        <w:tab/>
      </w:r>
      <w:r>
        <w:t>Portée</w:t>
      </w:r>
      <w:r>
        <w:tab/>
      </w:r>
      <w:r>
        <w:fldChar w:fldCharType="begin"/>
      </w:r>
      <w:r>
        <w:instrText xml:space="preserve"> PAGEREF _Toc4418315 \h </w:instrText>
      </w:r>
      <w:r>
        <w:fldChar w:fldCharType="separate"/>
      </w:r>
      <w:r>
        <w:t>2</w:t>
      </w:r>
      <w:r>
        <w:fldChar w:fldCharType="end"/>
      </w:r>
    </w:p>
    <w:p w14:paraId="3E03A581" w14:textId="2090DC5D" w:rsidR="00887921" w:rsidRDefault="00887921">
      <w:pPr>
        <w:pStyle w:val="TM1"/>
        <w:rPr>
          <w:sz w:val="22"/>
          <w:szCs w:val="22"/>
          <w:lang w:eastAsia="fr-CA"/>
        </w:rPr>
      </w:pPr>
      <w:r>
        <w:t>3</w:t>
      </w:r>
      <w:r>
        <w:rPr>
          <w:sz w:val="22"/>
          <w:szCs w:val="22"/>
          <w:lang w:eastAsia="fr-CA"/>
        </w:rPr>
        <w:tab/>
      </w:r>
      <w:r>
        <w:t>Responsabilités</w:t>
      </w:r>
      <w:r>
        <w:tab/>
      </w:r>
      <w:r>
        <w:fldChar w:fldCharType="begin"/>
      </w:r>
      <w:r>
        <w:instrText xml:space="preserve"> PAGEREF _Toc4418316 \h </w:instrText>
      </w:r>
      <w:r>
        <w:fldChar w:fldCharType="separate"/>
      </w:r>
      <w:r>
        <w:t>2</w:t>
      </w:r>
      <w:r>
        <w:fldChar w:fldCharType="end"/>
      </w:r>
    </w:p>
    <w:p w14:paraId="2CF123D3" w14:textId="59422F34" w:rsidR="00887921" w:rsidRDefault="00887921">
      <w:pPr>
        <w:pStyle w:val="TM1"/>
        <w:rPr>
          <w:sz w:val="22"/>
          <w:szCs w:val="22"/>
          <w:lang w:eastAsia="fr-CA"/>
        </w:rPr>
      </w:pPr>
      <w:r>
        <w:t>4</w:t>
      </w:r>
      <w:r>
        <w:rPr>
          <w:sz w:val="22"/>
          <w:szCs w:val="22"/>
          <w:lang w:eastAsia="fr-CA"/>
        </w:rPr>
        <w:tab/>
      </w:r>
      <w:r>
        <w:t>Définitions</w:t>
      </w:r>
      <w:r>
        <w:tab/>
      </w:r>
      <w:r>
        <w:fldChar w:fldCharType="begin"/>
      </w:r>
      <w:r>
        <w:instrText xml:space="preserve"> PAGEREF _Toc4418317 \h </w:instrText>
      </w:r>
      <w:r>
        <w:fldChar w:fldCharType="separate"/>
      </w:r>
      <w:r>
        <w:t>2</w:t>
      </w:r>
      <w:r>
        <w:fldChar w:fldCharType="end"/>
      </w:r>
    </w:p>
    <w:p w14:paraId="39F826F3" w14:textId="57EB16B0" w:rsidR="00887921" w:rsidRDefault="00887921">
      <w:pPr>
        <w:pStyle w:val="TM1"/>
        <w:rPr>
          <w:sz w:val="22"/>
          <w:szCs w:val="22"/>
          <w:lang w:eastAsia="fr-CA"/>
        </w:rPr>
      </w:pPr>
      <w:r>
        <w:t>5</w:t>
      </w:r>
      <w:r>
        <w:rPr>
          <w:sz w:val="22"/>
          <w:szCs w:val="22"/>
          <w:lang w:eastAsia="fr-CA"/>
        </w:rPr>
        <w:tab/>
      </w:r>
      <w:r>
        <w:t>Procédures</w:t>
      </w:r>
      <w:r>
        <w:tab/>
      </w:r>
      <w:r>
        <w:fldChar w:fldCharType="begin"/>
      </w:r>
      <w:r>
        <w:instrText xml:space="preserve"> PAGEREF _Toc4418318 \h </w:instrText>
      </w:r>
      <w:r>
        <w:fldChar w:fldCharType="separate"/>
      </w:r>
      <w:r>
        <w:t>2</w:t>
      </w:r>
      <w:r>
        <w:fldChar w:fldCharType="end"/>
      </w:r>
    </w:p>
    <w:p w14:paraId="7FFB152F" w14:textId="1ABB7B25" w:rsidR="00887921" w:rsidRDefault="00887921">
      <w:pPr>
        <w:pStyle w:val="TM2"/>
        <w:rPr>
          <w:sz w:val="22"/>
          <w:szCs w:val="22"/>
          <w:lang w:eastAsia="fr-CA"/>
        </w:rPr>
      </w:pPr>
      <w:r w:rsidRPr="00A714C4">
        <w:t>5.1</w:t>
      </w:r>
      <w:r>
        <w:rPr>
          <w:sz w:val="22"/>
          <w:szCs w:val="22"/>
          <w:lang w:eastAsia="fr-CA"/>
        </w:rPr>
        <w:tab/>
      </w:r>
      <w:r w:rsidRPr="00A714C4">
        <w:t>Recherche exigeant une évaluation du CER</w:t>
      </w:r>
      <w:r>
        <w:tab/>
      </w:r>
      <w:r>
        <w:fldChar w:fldCharType="begin"/>
      </w:r>
      <w:r>
        <w:instrText xml:space="preserve"> PAGEREF _Toc4418319 \h </w:instrText>
      </w:r>
      <w:r>
        <w:fldChar w:fldCharType="separate"/>
      </w:r>
      <w:r>
        <w:t>2</w:t>
      </w:r>
      <w:r>
        <w:fldChar w:fldCharType="end"/>
      </w:r>
    </w:p>
    <w:p w14:paraId="5E68B544" w14:textId="4B078B60" w:rsidR="00887921" w:rsidRDefault="00887921">
      <w:pPr>
        <w:pStyle w:val="TM2"/>
        <w:rPr>
          <w:sz w:val="22"/>
          <w:szCs w:val="22"/>
          <w:lang w:eastAsia="fr-CA"/>
        </w:rPr>
      </w:pPr>
      <w:r w:rsidRPr="00A714C4">
        <w:t>5.2</w:t>
      </w:r>
      <w:r>
        <w:rPr>
          <w:sz w:val="22"/>
          <w:szCs w:val="22"/>
          <w:lang w:eastAsia="fr-CA"/>
        </w:rPr>
        <w:tab/>
      </w:r>
      <w:r w:rsidRPr="00A714C4">
        <w:t>Recherche exemptée d’une évaluation par un CER</w:t>
      </w:r>
      <w:r>
        <w:tab/>
      </w:r>
      <w:r>
        <w:fldChar w:fldCharType="begin"/>
      </w:r>
      <w:r>
        <w:instrText xml:space="preserve"> PAGEREF _Toc4418320 \h </w:instrText>
      </w:r>
      <w:r>
        <w:fldChar w:fldCharType="separate"/>
      </w:r>
      <w:r>
        <w:t>2</w:t>
      </w:r>
      <w:r>
        <w:fldChar w:fldCharType="end"/>
      </w:r>
    </w:p>
    <w:p w14:paraId="71FEE205" w14:textId="5A879F97" w:rsidR="00887921" w:rsidRDefault="00887921">
      <w:pPr>
        <w:pStyle w:val="TM2"/>
        <w:rPr>
          <w:sz w:val="22"/>
          <w:szCs w:val="22"/>
          <w:lang w:eastAsia="fr-CA"/>
        </w:rPr>
      </w:pPr>
      <w:r w:rsidRPr="00A714C4">
        <w:t>5.3</w:t>
      </w:r>
      <w:r>
        <w:rPr>
          <w:sz w:val="22"/>
          <w:szCs w:val="22"/>
          <w:lang w:eastAsia="fr-CA"/>
        </w:rPr>
        <w:tab/>
      </w:r>
      <w:r w:rsidRPr="00A714C4">
        <w:t>Activités n’exigeant pas d’évaluation par un CER</w:t>
      </w:r>
      <w:r>
        <w:tab/>
      </w:r>
      <w:r>
        <w:fldChar w:fldCharType="begin"/>
      </w:r>
      <w:r>
        <w:instrText xml:space="preserve"> PAGEREF _Toc4418321 \h </w:instrText>
      </w:r>
      <w:r>
        <w:fldChar w:fldCharType="separate"/>
      </w:r>
      <w:r>
        <w:t>3</w:t>
      </w:r>
      <w:r>
        <w:fldChar w:fldCharType="end"/>
      </w:r>
    </w:p>
    <w:p w14:paraId="5A31BE5E" w14:textId="06E192A1" w:rsidR="00887921" w:rsidRDefault="00887921">
      <w:pPr>
        <w:pStyle w:val="TM1"/>
        <w:rPr>
          <w:sz w:val="22"/>
          <w:szCs w:val="22"/>
          <w:lang w:eastAsia="fr-CA"/>
        </w:rPr>
      </w:pPr>
      <w:r>
        <w:t>6</w:t>
      </w:r>
      <w:r>
        <w:rPr>
          <w:sz w:val="22"/>
          <w:szCs w:val="22"/>
          <w:lang w:eastAsia="fr-CA"/>
        </w:rPr>
        <w:tab/>
      </w:r>
      <w:r>
        <w:t>Références</w:t>
      </w:r>
      <w:r>
        <w:tab/>
      </w:r>
      <w:r>
        <w:fldChar w:fldCharType="begin"/>
      </w:r>
      <w:r>
        <w:instrText xml:space="preserve"> PAGEREF _Toc4418322 \h </w:instrText>
      </w:r>
      <w:r>
        <w:fldChar w:fldCharType="separate"/>
      </w:r>
      <w:r>
        <w:t>4</w:t>
      </w:r>
      <w:r>
        <w:fldChar w:fldCharType="end"/>
      </w:r>
    </w:p>
    <w:p w14:paraId="4161135C" w14:textId="206458B0" w:rsidR="00887921" w:rsidRDefault="00887921">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_Toc4418323 \h </w:instrText>
      </w:r>
      <w:r>
        <w:fldChar w:fldCharType="separate"/>
      </w:r>
      <w:r>
        <w:t>4</w:t>
      </w:r>
      <w:r>
        <w:fldChar w:fldCharType="end"/>
      </w:r>
    </w:p>
    <w:p w14:paraId="443089E3" w14:textId="7605796E" w:rsidR="00887921" w:rsidRDefault="00887921">
      <w:pPr>
        <w:pStyle w:val="TM1"/>
        <w:rPr>
          <w:sz w:val="22"/>
          <w:szCs w:val="22"/>
          <w:lang w:eastAsia="fr-CA"/>
        </w:rPr>
      </w:pPr>
      <w:r>
        <w:t>8</w:t>
      </w:r>
      <w:r>
        <w:rPr>
          <w:sz w:val="22"/>
          <w:szCs w:val="22"/>
          <w:lang w:eastAsia="fr-CA"/>
        </w:rPr>
        <w:tab/>
      </w:r>
      <w:r>
        <w:t>Annexes</w:t>
      </w:r>
      <w:r>
        <w:tab/>
      </w:r>
      <w:r>
        <w:fldChar w:fldCharType="begin"/>
      </w:r>
      <w:r>
        <w:instrText xml:space="preserve"> PAGEREF _Toc4418324 \h </w:instrText>
      </w:r>
      <w:r>
        <w:fldChar w:fldCharType="separate"/>
      </w:r>
      <w:r>
        <w:t>4</w:t>
      </w:r>
      <w:r>
        <w:fldChar w:fldCharType="end"/>
      </w:r>
    </w:p>
    <w:p w14:paraId="564964C4" w14:textId="4077E0E2" w:rsidR="002B5BA5" w:rsidRPr="00D3761E" w:rsidRDefault="0030269A" w:rsidP="00F073C0">
      <w:r w:rsidRPr="00D3761E">
        <w:rPr>
          <w:rFonts w:eastAsiaTheme="minorEastAsia" w:cstheme="minorHAnsi"/>
          <w:lang w:eastAsia="fr-FR"/>
        </w:rPr>
        <w:fldChar w:fldCharType="end"/>
      </w:r>
    </w:p>
    <w:p w14:paraId="58AB8D44" w14:textId="15E64D94" w:rsidR="00B66BD6" w:rsidRPr="00D3761E" w:rsidRDefault="00ED30D3" w:rsidP="00F073C0">
      <w:pPr>
        <w:pStyle w:val="Titre1"/>
      </w:pPr>
      <w:bookmarkStart w:id="0" w:name="_Toc4418314"/>
      <w:r w:rsidRPr="00D3761E">
        <w:t>Objectif</w:t>
      </w:r>
      <w:bookmarkEnd w:id="0"/>
    </w:p>
    <w:p w14:paraId="48575048" w14:textId="1C58ED2F" w:rsidR="002E18ED" w:rsidRPr="00D3761E" w:rsidRDefault="00DD1A74" w:rsidP="00F073C0">
      <w:r w:rsidRPr="00D3761E">
        <w:t>L’objectif de ce mode opératoire normalisé (MON) consiste à décrire les activités de recherche nécessitant une évaluation du comité d’éthique de la recherche (CER) et celles qui n’en ont pas besoin.</w:t>
      </w:r>
    </w:p>
    <w:p w14:paraId="58AFA72E" w14:textId="4CB9E0C2" w:rsidR="00756C58" w:rsidRPr="00D3761E" w:rsidRDefault="00ED30D3" w:rsidP="00F073C0">
      <w:pPr>
        <w:pStyle w:val="Titre1"/>
      </w:pPr>
      <w:bookmarkStart w:id="1" w:name="_Toc4418315"/>
      <w:r w:rsidRPr="00D3761E">
        <w:lastRenderedPageBreak/>
        <w:t>Portée</w:t>
      </w:r>
      <w:bookmarkEnd w:id="1"/>
    </w:p>
    <w:p w14:paraId="734B544A" w14:textId="2BED7FE3" w:rsidR="00DD1A74" w:rsidRPr="00D3761E" w:rsidRDefault="00DD1A74" w:rsidP="00F073C0">
      <w:r w:rsidRPr="00D3761E">
        <w:t>Cette MON concerne les CER qui évaluent des projets de recherche menés auprès de participants humains conformément aux règlements et aux lignes directrices applicables.</w:t>
      </w:r>
    </w:p>
    <w:p w14:paraId="4CE467C9" w14:textId="5B461F66" w:rsidR="00756C58" w:rsidRPr="00D3761E" w:rsidRDefault="002E18ED" w:rsidP="00F073C0">
      <w:pPr>
        <w:pStyle w:val="Titre1"/>
      </w:pPr>
      <w:bookmarkStart w:id="2" w:name="_Toc4418316"/>
      <w:r w:rsidRPr="00D3761E">
        <w:t>R</w:t>
      </w:r>
      <w:r w:rsidR="00756C58" w:rsidRPr="00D3761E">
        <w:t>espons</w:t>
      </w:r>
      <w:r w:rsidR="00ED30D3" w:rsidRPr="00D3761E">
        <w:t>a</w:t>
      </w:r>
      <w:r w:rsidR="00756C58" w:rsidRPr="00D3761E">
        <w:t>bilit</w:t>
      </w:r>
      <w:r w:rsidR="00ED30D3" w:rsidRPr="00D3761E">
        <w:t>é</w:t>
      </w:r>
      <w:r w:rsidR="00756C58" w:rsidRPr="00D3761E">
        <w:t>s</w:t>
      </w:r>
      <w:bookmarkEnd w:id="2"/>
    </w:p>
    <w:p w14:paraId="716E64E8" w14:textId="63BCEC4D" w:rsidR="002E18ED" w:rsidRPr="00D3761E" w:rsidRDefault="00DD1A74" w:rsidP="00F073C0">
      <w:r w:rsidRPr="00D3761E">
        <w:t>Tous les membres du CER et tout le personnel désigné du CER sont responsables de s’assurer que les exigences de ce MON sont satisfaites.</w:t>
      </w:r>
    </w:p>
    <w:p w14:paraId="3321FEC9" w14:textId="34E5AB84" w:rsidR="00756C58" w:rsidRPr="00D3761E" w:rsidRDefault="002E18ED" w:rsidP="00F073C0">
      <w:pPr>
        <w:pStyle w:val="Titre1"/>
      </w:pPr>
      <w:bookmarkStart w:id="3" w:name="_Toc4418317"/>
      <w:r w:rsidRPr="00D3761E">
        <w:t>D</w:t>
      </w:r>
      <w:r w:rsidR="00ED30D3" w:rsidRPr="00D3761E">
        <w:t>é</w:t>
      </w:r>
      <w:r w:rsidR="00756C58" w:rsidRPr="00D3761E">
        <w:t>finitions</w:t>
      </w:r>
      <w:bookmarkEnd w:id="3"/>
    </w:p>
    <w:p w14:paraId="3A382B14" w14:textId="1F125442" w:rsidR="002E18ED" w:rsidRPr="00D3761E" w:rsidRDefault="00DD1A74" w:rsidP="00F073C0">
      <w:r w:rsidRPr="00D3761E">
        <w:t>Voir le glossaire.</w:t>
      </w:r>
    </w:p>
    <w:p w14:paraId="17D971BD" w14:textId="7775E055" w:rsidR="00756C58" w:rsidRPr="00D3761E" w:rsidRDefault="002E18ED" w:rsidP="00F073C0">
      <w:pPr>
        <w:pStyle w:val="Titre1"/>
      </w:pPr>
      <w:bookmarkStart w:id="4" w:name="_Toc4418318"/>
      <w:r w:rsidRPr="00D3761E">
        <w:t>P</w:t>
      </w:r>
      <w:r w:rsidR="00756C58" w:rsidRPr="00D3761E">
        <w:t>roc</w:t>
      </w:r>
      <w:r w:rsidR="00ED30D3" w:rsidRPr="00D3761E">
        <w:t>é</w:t>
      </w:r>
      <w:r w:rsidR="00756C58" w:rsidRPr="00D3761E">
        <w:t>dures</w:t>
      </w:r>
      <w:bookmarkEnd w:id="4"/>
    </w:p>
    <w:p w14:paraId="0BED207A" w14:textId="21D01EE4" w:rsidR="002E18ED" w:rsidRPr="00D3761E" w:rsidRDefault="00DD1A74" w:rsidP="00F073C0">
      <w:r w:rsidRPr="00D3761E">
        <w:t>Toute recherche menée auprès de participants humains est évaluée et approuvée par un CER. Aucune intervention ni interaction ne peut être entreprise auprès de participants humains à une recherche, y compris le recrutement, avant que le CER ait évalué et approuvé le protocole de recherche, les documents de consentement et le matériel de recrutement.</w:t>
      </w:r>
    </w:p>
    <w:p w14:paraId="483DC2BB" w14:textId="113803E6" w:rsidR="00DD1A74" w:rsidRPr="00D3761E" w:rsidRDefault="00DD1A74" w:rsidP="00F073C0">
      <w:pPr>
        <w:pStyle w:val="Titre2"/>
        <w:widowControl/>
        <w:rPr>
          <w:lang w:val="fr-CA"/>
        </w:rPr>
      </w:pPr>
      <w:bookmarkStart w:id="5" w:name="_Toc4418319"/>
      <w:r w:rsidRPr="00D3761E">
        <w:rPr>
          <w:lang w:val="fr-CA"/>
        </w:rPr>
        <w:t>Recherche exigeant une évaluation du CER</w:t>
      </w:r>
      <w:bookmarkEnd w:id="5"/>
    </w:p>
    <w:p w14:paraId="71D03940" w14:textId="7205FCA6" w:rsidR="00DD1A74" w:rsidRPr="00D3761E" w:rsidRDefault="00C575DD" w:rsidP="00F073C0">
      <w:pPr>
        <w:pStyle w:val="Titre3"/>
        <w:widowControl/>
        <w:rPr>
          <w:lang w:val="fr-CA"/>
        </w:rPr>
      </w:pPr>
      <w:r w:rsidRPr="00D3761E">
        <w:rPr>
          <w:lang w:val="fr-CA"/>
        </w:rPr>
        <w:t>Doivent être évaluées sur le plan de l’éthique et approuvées par un CER avant le début des travaux</w:t>
      </w:r>
      <w:r w:rsidR="00DC6E5F" w:rsidRPr="00D3761E">
        <w:rPr>
          <w:lang w:val="fr-CA"/>
        </w:rPr>
        <w:t> </w:t>
      </w:r>
      <w:r w:rsidRPr="00D3761E">
        <w:rPr>
          <w:vertAlign w:val="superscript"/>
          <w:lang w:val="fr-CA"/>
        </w:rPr>
        <w:footnoteReference w:id="1"/>
      </w:r>
      <w:r w:rsidR="00496521">
        <w:rPr>
          <w:lang w:val="fr-CA"/>
        </w:rPr>
        <w:t> </w:t>
      </w:r>
      <w:r w:rsidRPr="00D3761E">
        <w:rPr>
          <w:lang w:val="fr-CA"/>
        </w:rPr>
        <w:t>:</w:t>
      </w:r>
    </w:p>
    <w:p w14:paraId="2FD019EF" w14:textId="09C7F945" w:rsidR="00DD1A74" w:rsidRPr="00D3761E" w:rsidRDefault="00DD1A74" w:rsidP="00F073C0">
      <w:pPr>
        <w:pStyle w:val="SOPBulletC"/>
      </w:pPr>
      <w:r w:rsidRPr="00D3761E">
        <w:t>Les recherches avec des participants humains et/ou leurs données personnelles;</w:t>
      </w:r>
    </w:p>
    <w:p w14:paraId="2C7781B3" w14:textId="2D2D279C" w:rsidR="00DD1A74" w:rsidRPr="00D3761E" w:rsidRDefault="00DD1A74" w:rsidP="00F073C0">
      <w:pPr>
        <w:pStyle w:val="SOPBulletC"/>
      </w:pPr>
      <w:r w:rsidRPr="00D3761E">
        <w:t>Les recherches portant sur du matériel biologique humain, des embryons, des fœtus, des tissus fœtaux, du matériel reproductif humain ou des cellules souches d’origine humaine. Il peut s’agir de matériel provenant de personnes vivantes ou de personnes décédées.</w:t>
      </w:r>
    </w:p>
    <w:p w14:paraId="25189071" w14:textId="05BE8D9B" w:rsidR="000C4166" w:rsidRPr="00D3761E" w:rsidRDefault="000C4166" w:rsidP="00F073C0">
      <w:pPr>
        <w:pStyle w:val="Titre2"/>
        <w:widowControl/>
        <w:rPr>
          <w:lang w:val="fr-CA"/>
        </w:rPr>
      </w:pPr>
      <w:bookmarkStart w:id="6" w:name="_Toc4418320"/>
      <w:r w:rsidRPr="00D3761E">
        <w:rPr>
          <w:lang w:val="fr-CA"/>
        </w:rPr>
        <w:t>Recherche exemptée d’une évaluation par un CER</w:t>
      </w:r>
      <w:bookmarkEnd w:id="6"/>
    </w:p>
    <w:p w14:paraId="7A4B1639" w14:textId="55BDB0B3" w:rsidR="00C575DD" w:rsidRPr="00D3761E" w:rsidRDefault="00C575DD" w:rsidP="00F073C0">
      <w:pPr>
        <w:pStyle w:val="Titre3"/>
        <w:widowControl/>
        <w:rPr>
          <w:lang w:val="fr-CA"/>
        </w:rPr>
      </w:pPr>
      <w:r w:rsidRPr="00D3761E">
        <w:rPr>
          <w:lang w:val="fr-CA"/>
        </w:rPr>
        <w:t>Il n’y a pas lieu de faire évaluer par un CER la recherche fondée exclusivement sur de l’information accessible au public si l’une ou l’autre des conditions suivantes est remplie</w:t>
      </w:r>
      <w:r w:rsidRPr="00D3761E">
        <w:rPr>
          <w:vertAlign w:val="superscript"/>
          <w:lang w:val="fr-CA"/>
        </w:rPr>
        <w:footnoteReference w:id="2"/>
      </w:r>
      <w:r w:rsidR="00DC6E5F" w:rsidRPr="00D3761E">
        <w:rPr>
          <w:lang w:val="fr-CA"/>
        </w:rPr>
        <w:t> </w:t>
      </w:r>
      <w:r w:rsidRPr="00D3761E">
        <w:rPr>
          <w:lang w:val="fr-CA"/>
        </w:rPr>
        <w:t>:</w:t>
      </w:r>
    </w:p>
    <w:p w14:paraId="22FCBBBD" w14:textId="6C5E891B" w:rsidR="008A79C7" w:rsidRPr="00D3761E" w:rsidRDefault="008A79C7" w:rsidP="00F073C0">
      <w:pPr>
        <w:pStyle w:val="SOPBulletC"/>
      </w:pPr>
      <w:r w:rsidRPr="00D3761E">
        <w:t>L’information est légalement accessible au public et adéquatement protégée en vertu de la loi;</w:t>
      </w:r>
    </w:p>
    <w:p w14:paraId="01BEC57A" w14:textId="25615A5F" w:rsidR="008A79C7" w:rsidRPr="00D3761E" w:rsidRDefault="008A79C7" w:rsidP="00F073C0">
      <w:pPr>
        <w:pStyle w:val="SOPBulletC"/>
      </w:pPr>
      <w:r w:rsidRPr="00D3761E">
        <w:t>L’information est accessible au public et il n’y a pas d’attente raisonnable en matière de vie privée.</w:t>
      </w:r>
    </w:p>
    <w:p w14:paraId="22D4B758" w14:textId="6ABA5700" w:rsidR="00C575DD" w:rsidRPr="00D3761E" w:rsidRDefault="00C575DD" w:rsidP="00F073C0">
      <w:pPr>
        <w:pStyle w:val="Titre3"/>
        <w:widowControl/>
        <w:rPr>
          <w:lang w:val="fr-CA"/>
        </w:rPr>
      </w:pPr>
      <w:r w:rsidRPr="00D3761E">
        <w:rPr>
          <w:lang w:val="fr-CA"/>
        </w:rPr>
        <w:lastRenderedPageBreak/>
        <w:t>L’observation de personnes dans des lieux publics ne nécessite pas d’évaluation par un CER si les conditions suivantes sont réunies</w:t>
      </w:r>
      <w:r w:rsidR="00DC6E5F" w:rsidRPr="00D3761E">
        <w:rPr>
          <w:lang w:val="fr-CA"/>
        </w:rPr>
        <w:t> </w:t>
      </w:r>
      <w:r w:rsidRPr="00D3761E">
        <w:rPr>
          <w:vertAlign w:val="superscript"/>
          <w:lang w:val="fr-CA"/>
        </w:rPr>
        <w:footnoteReference w:id="3"/>
      </w:r>
      <w:r w:rsidR="00496521">
        <w:rPr>
          <w:lang w:val="fr-CA"/>
        </w:rPr>
        <w:t> </w:t>
      </w:r>
      <w:r w:rsidRPr="00D3761E">
        <w:rPr>
          <w:lang w:val="fr-CA"/>
        </w:rPr>
        <w:t>:</w:t>
      </w:r>
    </w:p>
    <w:p w14:paraId="2107AA77" w14:textId="2DE84308" w:rsidR="008A79C7" w:rsidRPr="00D3761E" w:rsidRDefault="008A79C7" w:rsidP="00F073C0">
      <w:pPr>
        <w:pStyle w:val="SOPBulletC"/>
      </w:pPr>
      <w:r w:rsidRPr="00D3761E">
        <w:t>La recherche ne prévoit pas d’intervention planifiée par le chercheur ou d’interaction directe avec des personnes ou des groupes;</w:t>
      </w:r>
    </w:p>
    <w:p w14:paraId="520F7A91" w14:textId="77777777" w:rsidR="008A79C7" w:rsidRPr="00D3761E" w:rsidRDefault="008A79C7" w:rsidP="00F073C0">
      <w:pPr>
        <w:pStyle w:val="SOPBulletC"/>
      </w:pPr>
      <w:r w:rsidRPr="00D3761E">
        <w:t>Les personnes ou groupes visés par l’observation n’ont pas d’attente raisonnable en matière de vie privée;</w:t>
      </w:r>
    </w:p>
    <w:p w14:paraId="42604D1E" w14:textId="5464FF8F" w:rsidR="008A79C7" w:rsidRPr="00D3761E" w:rsidRDefault="008A79C7" w:rsidP="00F073C0">
      <w:pPr>
        <w:pStyle w:val="SOPBulletC"/>
      </w:pPr>
      <w:r w:rsidRPr="00D3761E">
        <w:t>Aucune diffusion des résultats de la recherche ne permet d’identifier des personnes en particulier.</w:t>
      </w:r>
    </w:p>
    <w:p w14:paraId="41ACF7C0" w14:textId="29D17FDD" w:rsidR="00BE552F" w:rsidRPr="00D3761E" w:rsidRDefault="00BE552F" w:rsidP="009F52A8">
      <w:pPr>
        <w:pStyle w:val="Paragraphedeliste"/>
        <w:numPr>
          <w:ilvl w:val="4"/>
          <w:numId w:val="22"/>
        </w:numPr>
        <w:ind w:left="2070"/>
      </w:pPr>
      <w:r w:rsidRPr="00D3761E">
        <w:t>Il n’y a pas lieu de faire évaluer par un CER un projet de recherche fondé exclusivement sur l’utilisation secondaire de renseignements anonymes ou de matériel biologique humain anonyme, à condition que les procédures de couplage, d’enregistrement ou de diffusion ne créent pas de renseignements identificatoires</w:t>
      </w:r>
      <w:r w:rsidRPr="00D3761E">
        <w:rPr>
          <w:vertAlign w:val="superscript"/>
        </w:rPr>
        <w:footnoteReference w:id="4"/>
      </w:r>
      <w:r w:rsidR="00DA7A57" w:rsidRPr="00D3761E">
        <w:t>.</w:t>
      </w:r>
      <w:r w:rsidRPr="00D3761E">
        <w:t xml:space="preserve"> Le matériel biologique humain qui est recueilli dans le cadre de soins n’est jamais anonyme.</w:t>
      </w:r>
    </w:p>
    <w:p w14:paraId="60CAE991" w14:textId="0D841B6E" w:rsidR="00BE552F" w:rsidRPr="00D3761E" w:rsidRDefault="00BE552F" w:rsidP="009F52A8">
      <w:pPr>
        <w:pStyle w:val="Paragraphedeliste"/>
        <w:numPr>
          <w:ilvl w:val="4"/>
          <w:numId w:val="22"/>
        </w:numPr>
        <w:ind w:left="2070"/>
      </w:pPr>
      <w:r w:rsidRPr="00D3761E">
        <w:t>Les chercheurs peuvent consulter les CER chaque fois qu’ils s’interrogent sur l</w:t>
      </w:r>
      <w:r w:rsidRPr="00D3761E">
        <w:rPr>
          <w:spacing w:val="-1"/>
        </w:rPr>
        <w:t>’</w:t>
      </w:r>
      <w:r w:rsidRPr="00D3761E">
        <w:t>appl</w:t>
      </w:r>
      <w:r w:rsidRPr="00D3761E">
        <w:rPr>
          <w:spacing w:val="-1"/>
        </w:rPr>
        <w:t>i</w:t>
      </w:r>
      <w:r w:rsidRPr="00D3761E">
        <w:t>cabi</w:t>
      </w:r>
      <w:r w:rsidRPr="00D3761E">
        <w:rPr>
          <w:spacing w:val="-1"/>
        </w:rPr>
        <w:t>l</w:t>
      </w:r>
      <w:r w:rsidRPr="00D3761E">
        <w:t>ité</w:t>
      </w:r>
      <w:r w:rsidRPr="00D3761E">
        <w:rPr>
          <w:spacing w:val="-2"/>
        </w:rPr>
        <w:t xml:space="preserve"> </w:t>
      </w:r>
      <w:r w:rsidRPr="00D3761E">
        <w:t>des rè</w:t>
      </w:r>
      <w:r w:rsidRPr="00D3761E">
        <w:rPr>
          <w:spacing w:val="-2"/>
        </w:rPr>
        <w:t>g</w:t>
      </w:r>
      <w:r w:rsidRPr="00D3761E">
        <w:t>l</w:t>
      </w:r>
      <w:r w:rsidRPr="00D3761E">
        <w:rPr>
          <w:spacing w:val="-2"/>
        </w:rPr>
        <w:t>e</w:t>
      </w:r>
      <w:r w:rsidRPr="00D3761E">
        <w:t xml:space="preserve">s </w:t>
      </w:r>
      <w:r w:rsidRPr="00D3761E">
        <w:rPr>
          <w:spacing w:val="1"/>
        </w:rPr>
        <w:t>d</w:t>
      </w:r>
      <w:r w:rsidRPr="00D3761E">
        <w:t xml:space="preserve">e </w:t>
      </w:r>
      <w:r w:rsidRPr="00D3761E">
        <w:rPr>
          <w:spacing w:val="-2"/>
        </w:rPr>
        <w:t>c</w:t>
      </w:r>
      <w:r w:rsidRPr="00D3761E">
        <w:t>ette</w:t>
      </w:r>
      <w:r w:rsidRPr="00D3761E">
        <w:rPr>
          <w:spacing w:val="-2"/>
        </w:rPr>
        <w:t xml:space="preserve"> </w:t>
      </w:r>
      <w:r w:rsidRPr="00D3761E">
        <w:rPr>
          <w:spacing w:val="1"/>
        </w:rPr>
        <w:t>p</w:t>
      </w:r>
      <w:r w:rsidRPr="00D3761E">
        <w:t>ol</w:t>
      </w:r>
      <w:r w:rsidRPr="00D3761E">
        <w:rPr>
          <w:spacing w:val="-1"/>
        </w:rPr>
        <w:t>i</w:t>
      </w:r>
      <w:r w:rsidRPr="00D3761E">
        <w:t>ti</w:t>
      </w:r>
      <w:r w:rsidRPr="00D3761E">
        <w:rPr>
          <w:spacing w:val="-2"/>
        </w:rPr>
        <w:t>q</w:t>
      </w:r>
      <w:r w:rsidRPr="00D3761E">
        <w:t>ue</w:t>
      </w:r>
      <w:r w:rsidRPr="00D3761E">
        <w:rPr>
          <w:spacing w:val="-2"/>
        </w:rPr>
        <w:t xml:space="preserve"> </w:t>
      </w:r>
      <w:r w:rsidRPr="00D3761E">
        <w:t xml:space="preserve">à </w:t>
      </w:r>
      <w:r w:rsidRPr="00D3761E">
        <w:rPr>
          <w:spacing w:val="-1"/>
        </w:rPr>
        <w:t>u</w:t>
      </w:r>
      <w:r w:rsidRPr="00D3761E">
        <w:t xml:space="preserve">n </w:t>
      </w:r>
      <w:r w:rsidRPr="00D3761E">
        <w:rPr>
          <w:spacing w:val="1"/>
        </w:rPr>
        <w:t>p</w:t>
      </w:r>
      <w:r w:rsidRPr="00D3761E">
        <w:t>rojet de recherche</w:t>
      </w:r>
      <w:r w:rsidRPr="00D3761E">
        <w:rPr>
          <w:spacing w:val="-2"/>
        </w:rPr>
        <w:t xml:space="preserve"> </w:t>
      </w:r>
      <w:r w:rsidRPr="00D3761E">
        <w:rPr>
          <w:spacing w:val="1"/>
        </w:rPr>
        <w:t>d</w:t>
      </w:r>
      <w:r w:rsidRPr="00D3761E">
        <w:rPr>
          <w:spacing w:val="-2"/>
        </w:rPr>
        <w:t>o</w:t>
      </w:r>
      <w:r w:rsidRPr="00D3761E">
        <w:t>n</w:t>
      </w:r>
      <w:r w:rsidRPr="00D3761E">
        <w:rPr>
          <w:spacing w:val="-2"/>
        </w:rPr>
        <w:t>n</w:t>
      </w:r>
      <w:r w:rsidRPr="00D3761E">
        <w:t>é</w:t>
      </w:r>
      <w:r w:rsidRPr="00D3761E">
        <w:rPr>
          <w:rStyle w:val="Appelnotedebasdep"/>
          <w:rFonts w:ascii="Calibri" w:hAnsi="Calibri" w:cs="Calibri"/>
        </w:rPr>
        <w:footnoteReference w:id="5"/>
      </w:r>
      <w:r w:rsidR="00DA7A57" w:rsidRPr="00D3761E">
        <w:t>.</w:t>
      </w:r>
    </w:p>
    <w:p w14:paraId="0BC5845F" w14:textId="72201EDD" w:rsidR="00AF4A18" w:rsidRPr="00D3761E" w:rsidRDefault="00AF4A18" w:rsidP="00F073C0">
      <w:pPr>
        <w:pStyle w:val="Titre2"/>
        <w:widowControl/>
        <w:rPr>
          <w:lang w:val="fr-CA"/>
        </w:rPr>
      </w:pPr>
      <w:bookmarkStart w:id="7" w:name="_Toc4418321"/>
      <w:r w:rsidRPr="00D3761E">
        <w:rPr>
          <w:lang w:val="fr-CA"/>
        </w:rPr>
        <w:t>Activités n’exigeant pas d’évaluation par un CER</w:t>
      </w:r>
      <w:bookmarkEnd w:id="7"/>
    </w:p>
    <w:p w14:paraId="554CE8C3" w14:textId="168D1B81" w:rsidR="00BE552F" w:rsidRPr="00D3761E" w:rsidRDefault="00BE552F" w:rsidP="00F073C0">
      <w:pPr>
        <w:pStyle w:val="Titre3"/>
        <w:widowControl/>
        <w:rPr>
          <w:lang w:val="fr-CA"/>
        </w:rPr>
      </w:pPr>
      <w:r w:rsidRPr="00D3761E">
        <w:rPr>
          <w:lang w:val="fr-CA"/>
        </w:rPr>
        <w:t>Les études consacrées à l’assurance de la qualité et à l’amélioration de la qualité, les activités d’évaluation de programmes et les évaluations du rendement, ou encore les examens habituellement administrés à des personnes dans le contexte de programmes d’enseignement, s’ils servent exclusivement à des fins d’évaluation, de gestion ou d’amélioration, ne constituent pas de la recherche au sens du présent MON et ne relèvent donc pas de la compétence des CER</w:t>
      </w:r>
      <w:r w:rsidRPr="00D3761E">
        <w:rPr>
          <w:vertAlign w:val="superscript"/>
          <w:lang w:val="fr-CA"/>
        </w:rPr>
        <w:footnoteReference w:id="6"/>
      </w:r>
      <w:r w:rsidR="00DA7A57" w:rsidRPr="00D3761E">
        <w:rPr>
          <w:lang w:val="fr-CA"/>
        </w:rPr>
        <w:t>.</w:t>
      </w:r>
    </w:p>
    <w:p w14:paraId="3F0C8611" w14:textId="3FCAFD94" w:rsidR="00BE552F" w:rsidRPr="00D3761E" w:rsidRDefault="00BE552F" w:rsidP="00F073C0">
      <w:pPr>
        <w:pStyle w:val="Titre3"/>
        <w:widowControl/>
        <w:rPr>
          <w:lang w:val="fr-CA"/>
        </w:rPr>
      </w:pPr>
      <w:r w:rsidRPr="00D3761E">
        <w:rPr>
          <w:lang w:val="fr-CA"/>
        </w:rPr>
        <w:t>Les activités artistiques qui intègrent essentiellement une pratique créative ne nécessitent pas d’évaluation par un CER. Cependant, un examen par un CER s’impose si un projet de recherche fait appel à une pratique créative en vue de recueillir auprès de participants des réponses qui seront ensuite analysées dans le cadre des questions liées au projet de recherche</w:t>
      </w:r>
      <w:r w:rsidRPr="00D3761E">
        <w:rPr>
          <w:vertAlign w:val="superscript"/>
          <w:lang w:val="fr-CA"/>
        </w:rPr>
        <w:footnoteReference w:id="7"/>
      </w:r>
      <w:r w:rsidR="00DA7A57" w:rsidRPr="00D3761E">
        <w:rPr>
          <w:lang w:val="fr-CA"/>
        </w:rPr>
        <w:t>.</w:t>
      </w:r>
    </w:p>
    <w:p w14:paraId="26B75CA3" w14:textId="5D063F07" w:rsidR="00BE552F" w:rsidRPr="00D3761E" w:rsidRDefault="00BE552F" w:rsidP="00F073C0">
      <w:pPr>
        <w:pStyle w:val="Titre3"/>
        <w:widowControl/>
        <w:rPr>
          <w:lang w:val="fr-CA"/>
        </w:rPr>
      </w:pPr>
      <w:bookmarkStart w:id="8" w:name="_Hlk1914940"/>
      <w:r w:rsidRPr="00D3761E">
        <w:rPr>
          <w:lang w:val="fr-CA"/>
        </w:rPr>
        <w:t>La phase exploratoire initiale pendant laquelle les chercheurs peuvent prendre contact avec des personnes ou des collectivités en vue de créer des partenariats de recherche ou de réunir de l’information pour l’élaboration du projet de recherche n’exige pas d’examen de la part du CER</w:t>
      </w:r>
      <w:r w:rsidRPr="00D3761E">
        <w:rPr>
          <w:vertAlign w:val="superscript"/>
          <w:lang w:val="fr-CA"/>
        </w:rPr>
        <w:footnoteReference w:id="8"/>
      </w:r>
      <w:bookmarkEnd w:id="8"/>
      <w:r w:rsidR="00DA7A57" w:rsidRPr="00D3761E">
        <w:rPr>
          <w:lang w:val="fr-CA"/>
        </w:rPr>
        <w:t>.</w:t>
      </w:r>
    </w:p>
    <w:p w14:paraId="4DEE21E6" w14:textId="4D449339" w:rsidR="008A79C7" w:rsidRPr="00D3761E" w:rsidRDefault="002E18ED" w:rsidP="00F073C0">
      <w:pPr>
        <w:pStyle w:val="Titre1"/>
      </w:pPr>
      <w:bookmarkStart w:id="9" w:name="_Toc4418322"/>
      <w:r w:rsidRPr="00D3761E">
        <w:lastRenderedPageBreak/>
        <w:t>R</w:t>
      </w:r>
      <w:r w:rsidR="00ED30D3" w:rsidRPr="00D3761E">
        <w:t>é</w:t>
      </w:r>
      <w:r w:rsidR="00756C58" w:rsidRPr="00D3761E">
        <w:t>f</w:t>
      </w:r>
      <w:r w:rsidR="00ED30D3" w:rsidRPr="00D3761E">
        <w:t>é</w:t>
      </w:r>
      <w:r w:rsidR="00756C58" w:rsidRPr="00D3761E">
        <w:t>rences</w:t>
      </w:r>
      <w:bookmarkEnd w:id="9"/>
    </w:p>
    <w:p w14:paraId="5D2C0AE4" w14:textId="01BE1EDF" w:rsidR="00756C58" w:rsidRPr="00D3761E" w:rsidRDefault="00347179" w:rsidP="00F073C0">
      <w:r w:rsidRPr="00D3761E">
        <w:t>Voir les notes en bas de page.</w:t>
      </w:r>
    </w:p>
    <w:p w14:paraId="7DAAB75F" w14:textId="6CC64D23" w:rsidR="00756C58" w:rsidRPr="00D3761E" w:rsidRDefault="00347179" w:rsidP="00F073C0">
      <w:pPr>
        <w:pStyle w:val="Titre1"/>
      </w:pPr>
      <w:bookmarkStart w:id="10" w:name="_Toc4418323"/>
      <w:r w:rsidRPr="00D3761E">
        <w:t xml:space="preserve">Historique des </w:t>
      </w:r>
      <w:r w:rsidR="002E18ED" w:rsidRPr="00D3761E">
        <w:t>R</w:t>
      </w:r>
      <w:r w:rsidRPr="00D3761E">
        <w:t>é</w:t>
      </w:r>
      <w:r w:rsidR="00756C58" w:rsidRPr="00D3761E">
        <w:t>vision</w:t>
      </w:r>
      <w:r w:rsidRPr="00D3761E">
        <w:t>s</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D3761E" w14:paraId="48F7327B" w14:textId="77777777" w:rsidTr="0030704D">
        <w:tc>
          <w:tcPr>
            <w:tcW w:w="2297" w:type="dxa"/>
            <w:tcBorders>
              <w:right w:val="single" w:sz="4" w:space="0" w:color="auto"/>
            </w:tcBorders>
            <w:shd w:val="clear" w:color="auto" w:fill="auto"/>
            <w:vAlign w:val="center"/>
          </w:tcPr>
          <w:p w14:paraId="1949C2F5" w14:textId="6E8507CC" w:rsidR="00756C58" w:rsidRPr="00D3761E" w:rsidRDefault="00347179" w:rsidP="00F073C0">
            <w:pPr>
              <w:spacing w:before="0" w:after="0"/>
              <w:jc w:val="center"/>
              <w:rPr>
                <w:rFonts w:eastAsia="Calibri"/>
                <w:b/>
              </w:rPr>
            </w:pPr>
            <w:r w:rsidRPr="00D3761E">
              <w:rPr>
                <w:rFonts w:eastAsia="Calibri"/>
                <w:b/>
              </w:rPr>
              <w:t>Code MON</w:t>
            </w:r>
          </w:p>
        </w:tc>
        <w:tc>
          <w:tcPr>
            <w:tcW w:w="1559" w:type="dxa"/>
            <w:tcBorders>
              <w:left w:val="single" w:sz="4" w:space="0" w:color="auto"/>
              <w:right w:val="single" w:sz="4" w:space="0" w:color="auto"/>
            </w:tcBorders>
            <w:shd w:val="clear" w:color="auto" w:fill="auto"/>
            <w:vAlign w:val="center"/>
          </w:tcPr>
          <w:p w14:paraId="3DC8E5D4" w14:textId="4B63C323" w:rsidR="00756C58" w:rsidRPr="00D3761E" w:rsidRDefault="00756C58" w:rsidP="00F073C0">
            <w:pPr>
              <w:spacing w:before="0" w:after="0"/>
              <w:jc w:val="center"/>
              <w:rPr>
                <w:rFonts w:eastAsia="Calibri"/>
                <w:b/>
              </w:rPr>
            </w:pPr>
            <w:r w:rsidRPr="00D3761E">
              <w:rPr>
                <w:rFonts w:eastAsia="Calibri"/>
                <w:b/>
              </w:rPr>
              <w:t>Date</w:t>
            </w:r>
            <w:r w:rsidR="00347179" w:rsidRPr="00D3761E">
              <w:rPr>
                <w:rFonts w:eastAsia="Calibri"/>
                <w:b/>
              </w:rPr>
              <w:t xml:space="preserve"> effective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385584A5" w:rsidR="00756C58" w:rsidRPr="00D3761E" w:rsidRDefault="00347179" w:rsidP="00F073C0">
            <w:pPr>
              <w:spacing w:before="0" w:after="0"/>
              <w:jc w:val="left"/>
              <w:rPr>
                <w:rFonts w:eastAsia="Calibri"/>
                <w:b/>
              </w:rPr>
            </w:pPr>
            <w:r w:rsidRPr="00D3761E">
              <w:rPr>
                <w:rFonts w:eastAsia="Calibri"/>
                <w:b/>
              </w:rPr>
              <w:t>Résumés des changements</w:t>
            </w:r>
          </w:p>
        </w:tc>
      </w:tr>
      <w:tr w:rsidR="00756C58" w:rsidRPr="00D3761E" w14:paraId="4D71CB09" w14:textId="77777777" w:rsidTr="0030704D">
        <w:tc>
          <w:tcPr>
            <w:tcW w:w="2297" w:type="dxa"/>
            <w:tcBorders>
              <w:right w:val="single" w:sz="4" w:space="0" w:color="auto"/>
            </w:tcBorders>
            <w:shd w:val="clear" w:color="auto" w:fill="auto"/>
            <w:vAlign w:val="center"/>
          </w:tcPr>
          <w:p w14:paraId="4E586DA7" w14:textId="41AD053B" w:rsidR="00756C58" w:rsidRPr="00D3761E" w:rsidRDefault="000C2992" w:rsidP="00F073C0">
            <w:pPr>
              <w:spacing w:before="0" w:after="0"/>
              <w:jc w:val="left"/>
              <w:rPr>
                <w:rFonts w:eastAsia="Calibri" w:cs="Arial"/>
              </w:rPr>
            </w:pPr>
            <w:r w:rsidRPr="00D3761E">
              <w:rPr>
                <w:rFonts w:eastAsia="Calibri"/>
              </w:rPr>
              <w:t xml:space="preserve">MON-CÉR </w:t>
            </w:r>
            <w:r w:rsidR="00B26615" w:rsidRPr="00D3761E">
              <w:rPr>
                <w:rFonts w:eastAsia="Calibri"/>
              </w:rPr>
              <w:t>102.001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711814CA" w:rsidR="00756C58" w:rsidRPr="00D3761E" w:rsidRDefault="0081179B" w:rsidP="00F073C0">
            <w:pPr>
              <w:spacing w:before="0" w:after="0"/>
              <w:jc w:val="center"/>
              <w:rPr>
                <w:rFonts w:eastAsia="Calibri"/>
              </w:rPr>
            </w:pPr>
            <w:r>
              <w:t>2</w:t>
            </w:r>
            <w:r>
              <w:t>020-01-31</w:t>
            </w:r>
            <w:bookmarkStart w:id="11" w:name="_GoBack"/>
            <w:bookmarkEnd w:id="11"/>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D3761E" w:rsidRDefault="00347179" w:rsidP="00F073C0">
            <w:pPr>
              <w:spacing w:before="0" w:after="0"/>
              <w:jc w:val="left"/>
              <w:rPr>
                <w:rFonts w:eastAsia="Calibri"/>
              </w:rPr>
            </w:pPr>
            <w:r w:rsidRPr="00D3761E">
              <w:rPr>
                <w:rFonts w:eastAsia="Calibri"/>
              </w:rPr>
              <w:t>Version o</w:t>
            </w:r>
            <w:r w:rsidR="00756C58" w:rsidRPr="00D3761E">
              <w:rPr>
                <w:rFonts w:eastAsia="Calibri"/>
              </w:rPr>
              <w:t>riginal</w:t>
            </w:r>
            <w:r w:rsidRPr="00D3761E">
              <w:rPr>
                <w:rFonts w:eastAsia="Calibri"/>
              </w:rPr>
              <w:t>e</w:t>
            </w:r>
          </w:p>
        </w:tc>
      </w:tr>
      <w:tr w:rsidR="00756C58" w:rsidRPr="00D3761E" w14:paraId="3C8E0466" w14:textId="77777777" w:rsidTr="0030704D">
        <w:tc>
          <w:tcPr>
            <w:tcW w:w="2297" w:type="dxa"/>
            <w:tcBorders>
              <w:right w:val="single" w:sz="4" w:space="0" w:color="auto"/>
            </w:tcBorders>
            <w:shd w:val="clear" w:color="auto" w:fill="auto"/>
            <w:vAlign w:val="center"/>
          </w:tcPr>
          <w:p w14:paraId="2187091D" w14:textId="3D508299" w:rsidR="00756C58" w:rsidRPr="00D3761E" w:rsidRDefault="00756C58" w:rsidP="00F073C0">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54AEFFFF" w:rsidR="00756C58" w:rsidRPr="00D3761E" w:rsidRDefault="00756C58" w:rsidP="00F073C0">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589FC05D" w:rsidR="00756C58" w:rsidRPr="00D3761E" w:rsidRDefault="00756C58" w:rsidP="00F073C0">
            <w:pPr>
              <w:spacing w:before="0" w:after="0"/>
              <w:jc w:val="left"/>
              <w:rPr>
                <w:rFonts w:eastAsia="Calibri"/>
              </w:rPr>
            </w:pPr>
          </w:p>
        </w:tc>
      </w:tr>
      <w:tr w:rsidR="00756C58" w:rsidRPr="00D3761E" w14:paraId="4C850D18" w14:textId="77777777" w:rsidTr="0030704D">
        <w:tc>
          <w:tcPr>
            <w:tcW w:w="2297" w:type="dxa"/>
            <w:tcBorders>
              <w:right w:val="single" w:sz="4" w:space="0" w:color="auto"/>
            </w:tcBorders>
            <w:shd w:val="clear" w:color="auto" w:fill="auto"/>
            <w:vAlign w:val="center"/>
          </w:tcPr>
          <w:p w14:paraId="2F4B81D7" w14:textId="77777777" w:rsidR="00756C58" w:rsidRPr="00D3761E" w:rsidRDefault="00756C58" w:rsidP="00F073C0">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D3761E" w:rsidRDefault="00756C58" w:rsidP="00F073C0">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D3761E" w:rsidRDefault="00756C58" w:rsidP="00F073C0">
            <w:pPr>
              <w:spacing w:before="0" w:after="0"/>
              <w:jc w:val="left"/>
              <w:rPr>
                <w:rFonts w:eastAsia="Calibri"/>
              </w:rPr>
            </w:pPr>
          </w:p>
        </w:tc>
      </w:tr>
    </w:tbl>
    <w:p w14:paraId="6C2C0F44" w14:textId="291CD809" w:rsidR="00A346BE" w:rsidRPr="00D3761E" w:rsidRDefault="002E18ED" w:rsidP="00F073C0">
      <w:pPr>
        <w:pStyle w:val="Titre1"/>
      </w:pPr>
      <w:bookmarkStart w:id="12" w:name="_Toc4418324"/>
      <w:r w:rsidRPr="00D3761E">
        <w:t>A</w:t>
      </w:r>
      <w:r w:rsidR="00347179" w:rsidRPr="00D3761E">
        <w:t>nnexes</w:t>
      </w:r>
      <w:bookmarkEnd w:id="12"/>
    </w:p>
    <w:sectPr w:rsidR="00A346BE" w:rsidRPr="00D3761E"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A564" w14:textId="77777777" w:rsidR="00456D7C" w:rsidRDefault="00456D7C" w:rsidP="0030269A">
      <w:pPr>
        <w:spacing w:before="0" w:after="0"/>
      </w:pPr>
      <w:r>
        <w:separator/>
      </w:r>
    </w:p>
  </w:endnote>
  <w:endnote w:type="continuationSeparator" w:id="0">
    <w:p w14:paraId="4018343A" w14:textId="77777777" w:rsidR="00456D7C" w:rsidRDefault="00456D7C"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0C6E" w14:textId="77777777" w:rsidR="00DC6E5F" w:rsidRDefault="00DC6E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EF04" w14:textId="77777777" w:rsidR="000C2992" w:rsidRPr="000C2992" w:rsidRDefault="000C2992" w:rsidP="000C2992">
    <w:pPr>
      <w:pStyle w:val="Pieddepage"/>
      <w:pBdr>
        <w:bottom w:val="single" w:sz="4" w:space="1" w:color="auto"/>
      </w:pBdr>
      <w:tabs>
        <w:tab w:val="clear" w:pos="4153"/>
        <w:tab w:val="clear" w:pos="8306"/>
        <w:tab w:val="right" w:pos="10065"/>
      </w:tabs>
      <w:rPr>
        <w:rFonts w:cstheme="minorHAnsi"/>
        <w:sz w:val="20"/>
        <w:szCs w:val="20"/>
      </w:rPr>
    </w:pPr>
  </w:p>
  <w:p w14:paraId="2EBC3A1E" w14:textId="204D732F" w:rsidR="002E18ED" w:rsidRPr="000C2992" w:rsidRDefault="000C2992" w:rsidP="002E18ED">
    <w:pPr>
      <w:pStyle w:val="Pieddepage"/>
      <w:tabs>
        <w:tab w:val="clear" w:pos="4153"/>
        <w:tab w:val="clear" w:pos="8306"/>
        <w:tab w:val="right" w:pos="10065"/>
      </w:tabs>
      <w:rPr>
        <w:rFonts w:cstheme="minorHAnsi"/>
        <w:sz w:val="20"/>
        <w:szCs w:val="20"/>
      </w:rPr>
    </w:pPr>
    <w:r w:rsidRPr="000C2992">
      <w:rPr>
        <w:rFonts w:cstheme="minorHAnsi"/>
        <w:color w:val="A6A6A6" w:themeColor="background1" w:themeShade="A6"/>
        <w:sz w:val="20"/>
        <w:szCs w:val="20"/>
      </w:rPr>
      <w:t xml:space="preserve">Réalisé avec la collaboration de </w:t>
    </w:r>
    <w:r w:rsidR="004D19DB">
      <w:rPr>
        <w:rFonts w:cstheme="minorHAnsi"/>
        <w:color w:val="A6A6A6" w:themeColor="background1" w:themeShade="A6"/>
        <w:sz w:val="20"/>
        <w:szCs w:val="20"/>
      </w:rPr>
      <w:t xml:space="preserve">N2 ACCER, </w:t>
    </w:r>
    <w:r w:rsidRPr="000C2992">
      <w:rPr>
        <w:rFonts w:cstheme="minorHAnsi"/>
        <w:color w:val="A6A6A6" w:themeColor="background1" w:themeShade="A6"/>
        <w:sz w:val="20"/>
        <w:szCs w:val="20"/>
      </w:rPr>
      <w:t>CATALIS</w:t>
    </w:r>
    <w:r w:rsidR="004D19DB">
      <w:rPr>
        <w:rFonts w:cstheme="minorHAnsi"/>
        <w:color w:val="A6A6A6" w:themeColor="background1" w:themeShade="A6"/>
        <w:sz w:val="20"/>
        <w:szCs w:val="20"/>
      </w:rPr>
      <w:t>, CHUM, CHU S</w:t>
    </w:r>
    <w:r w:rsidR="00F073C0">
      <w:rPr>
        <w:rFonts w:cstheme="minorHAnsi"/>
        <w:color w:val="A6A6A6" w:themeColor="background1" w:themeShade="A6"/>
        <w:sz w:val="20"/>
        <w:szCs w:val="20"/>
      </w:rPr>
      <w:t>ain</w:t>
    </w:r>
    <w:r w:rsidR="004D19DB">
      <w:rPr>
        <w:rFonts w:cstheme="minorHAnsi"/>
        <w:color w:val="A6A6A6" w:themeColor="background1" w:themeShade="A6"/>
        <w:sz w:val="20"/>
        <w:szCs w:val="20"/>
      </w:rPr>
      <w:t>te-Justine et CUSM</w:t>
    </w:r>
    <w:r w:rsidR="002E18ED" w:rsidRPr="000C2992">
      <w:rPr>
        <w:rFonts w:cstheme="minorHAnsi"/>
        <w:sz w:val="20"/>
        <w:szCs w:val="20"/>
      </w:rPr>
      <w:tab/>
      <w:t xml:space="preserve">Page </w:t>
    </w:r>
    <w:r w:rsidR="002E18ED" w:rsidRPr="000C2992">
      <w:rPr>
        <w:rFonts w:cstheme="minorHAnsi"/>
        <w:sz w:val="20"/>
        <w:szCs w:val="20"/>
        <w:lang w:val="fr-FR"/>
      </w:rPr>
      <w:fldChar w:fldCharType="begin"/>
    </w:r>
    <w:r w:rsidR="002E18ED" w:rsidRPr="000C2992">
      <w:rPr>
        <w:rFonts w:cstheme="minorHAnsi"/>
        <w:sz w:val="20"/>
        <w:szCs w:val="20"/>
      </w:rPr>
      <w:instrText xml:space="preserve"> PAGE </w:instrText>
    </w:r>
    <w:r w:rsidR="002E18ED" w:rsidRPr="000C2992">
      <w:rPr>
        <w:rFonts w:cstheme="minorHAnsi"/>
        <w:sz w:val="20"/>
        <w:szCs w:val="20"/>
        <w:lang w:val="en-CA"/>
      </w:rPr>
      <w:fldChar w:fldCharType="separate"/>
    </w:r>
    <w:r w:rsidR="0081179B">
      <w:rPr>
        <w:rFonts w:cstheme="minorHAnsi"/>
        <w:noProof/>
        <w:sz w:val="20"/>
        <w:szCs w:val="20"/>
      </w:rPr>
      <w:t>3</w:t>
    </w:r>
    <w:r w:rsidR="002E18ED" w:rsidRPr="000C2992">
      <w:rPr>
        <w:rFonts w:cstheme="minorHAnsi"/>
        <w:sz w:val="20"/>
        <w:szCs w:val="20"/>
        <w:lang w:val="fr-FR"/>
      </w:rPr>
      <w:fldChar w:fldCharType="end"/>
    </w:r>
    <w:r w:rsidR="002E18ED" w:rsidRPr="000C2992">
      <w:rPr>
        <w:rFonts w:cstheme="minorHAnsi"/>
        <w:sz w:val="20"/>
        <w:szCs w:val="20"/>
      </w:rPr>
      <w:t xml:space="preserve"> </w:t>
    </w:r>
    <w:r w:rsidR="00F073C0">
      <w:rPr>
        <w:rFonts w:cstheme="minorHAnsi"/>
        <w:sz w:val="20"/>
        <w:szCs w:val="20"/>
      </w:rPr>
      <w:t>de</w:t>
    </w:r>
    <w:r w:rsidR="002E18ED" w:rsidRPr="000C2992">
      <w:rPr>
        <w:rFonts w:cstheme="minorHAnsi"/>
        <w:sz w:val="20"/>
        <w:szCs w:val="20"/>
      </w:rPr>
      <w:t xml:space="preserve"> </w:t>
    </w:r>
    <w:r w:rsidR="002E18ED" w:rsidRPr="000C2992">
      <w:rPr>
        <w:rFonts w:cstheme="minorHAnsi"/>
        <w:sz w:val="20"/>
        <w:szCs w:val="20"/>
        <w:lang w:val="fr-FR"/>
      </w:rPr>
      <w:fldChar w:fldCharType="begin"/>
    </w:r>
    <w:r w:rsidR="002E18ED" w:rsidRPr="000C2992">
      <w:rPr>
        <w:rFonts w:cstheme="minorHAnsi"/>
        <w:sz w:val="20"/>
        <w:szCs w:val="20"/>
      </w:rPr>
      <w:instrText xml:space="preserve"> NUMPAGES </w:instrText>
    </w:r>
    <w:r w:rsidR="002E18ED" w:rsidRPr="000C2992">
      <w:rPr>
        <w:rFonts w:cstheme="minorHAnsi"/>
        <w:sz w:val="20"/>
        <w:szCs w:val="20"/>
        <w:lang w:val="en-CA"/>
      </w:rPr>
      <w:fldChar w:fldCharType="separate"/>
    </w:r>
    <w:r w:rsidR="0081179B">
      <w:rPr>
        <w:rFonts w:cstheme="minorHAnsi"/>
        <w:noProof/>
        <w:sz w:val="20"/>
        <w:szCs w:val="20"/>
      </w:rPr>
      <w:t>4</w:t>
    </w:r>
    <w:r w:rsidR="002E18ED" w:rsidRPr="000C2992">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6747" w14:textId="77777777" w:rsidR="00DC6E5F" w:rsidRDefault="00DC6E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3C37B" w14:textId="77777777" w:rsidR="00456D7C" w:rsidRDefault="00456D7C" w:rsidP="0030269A">
      <w:pPr>
        <w:spacing w:before="0" w:after="0"/>
      </w:pPr>
      <w:r>
        <w:separator/>
      </w:r>
    </w:p>
  </w:footnote>
  <w:footnote w:type="continuationSeparator" w:id="0">
    <w:p w14:paraId="35D2095B" w14:textId="77777777" w:rsidR="00456D7C" w:rsidRDefault="00456D7C" w:rsidP="0030269A">
      <w:pPr>
        <w:spacing w:before="0" w:after="0"/>
      </w:pPr>
      <w:r>
        <w:continuationSeparator/>
      </w:r>
    </w:p>
  </w:footnote>
  <w:footnote w:id="1">
    <w:p w14:paraId="5FD8718D" w14:textId="5F0A7DCF" w:rsidR="00C575DD" w:rsidRPr="00DA7A57" w:rsidRDefault="00C575DD" w:rsidP="000C2992">
      <w:pPr>
        <w:pStyle w:val="Notedebasdepage"/>
      </w:pPr>
      <w:r w:rsidRPr="00DA7A57">
        <w:rPr>
          <w:rStyle w:val="Appelnotedebasdep"/>
        </w:rPr>
        <w:footnoteRef/>
      </w:r>
      <w:r w:rsidRPr="00DA7A57">
        <w:t xml:space="preserve"> </w:t>
      </w:r>
      <w:r w:rsidR="000C2992" w:rsidRPr="00DA7A57">
        <w:tab/>
      </w:r>
      <w:r w:rsidRPr="00DA7A57">
        <w:rPr>
          <w:i/>
        </w:rPr>
        <w:t>Énoncé de politique des trois conseils canadiens de recherche</w:t>
      </w:r>
      <w:r w:rsidR="00DC6E5F" w:rsidRPr="00DA7A57">
        <w:rPr>
          <w:i/>
        </w:rPr>
        <w:t> </w:t>
      </w:r>
      <w:r w:rsidRPr="00DA7A57">
        <w:rPr>
          <w:i/>
        </w:rPr>
        <w:t>2</w:t>
      </w:r>
      <w:r w:rsidRPr="00DA7A57">
        <w:t xml:space="preserve"> – Groupe consultatif interorganisme en éthique de la recherche, 2014, art. 2.1, ci-après « EPTC2 ». Voir également : </w:t>
      </w:r>
      <w:r w:rsidRPr="00DA7A57">
        <w:rPr>
          <w:i/>
        </w:rPr>
        <w:t>Plan d’action ministériel en éthique de la recherche et en intégrité scientifique</w:t>
      </w:r>
      <w:r w:rsidRPr="00DA7A57">
        <w:t>, Gouvernement du Québec. Ministère de la Santé et des Services sociaux, juin</w:t>
      </w:r>
      <w:r w:rsidR="00DC6E5F" w:rsidRPr="00DA7A57">
        <w:t> </w:t>
      </w:r>
      <w:r w:rsidRPr="00DA7A57">
        <w:t>1998, p. 11, ci-après « </w:t>
      </w:r>
      <w:r w:rsidRPr="00DA7A57">
        <w:rPr>
          <w:i/>
        </w:rPr>
        <w:t>PAM</w:t>
      </w:r>
      <w:r w:rsidRPr="00DA7A57">
        <w:t> ».</w:t>
      </w:r>
    </w:p>
  </w:footnote>
  <w:footnote w:id="2">
    <w:p w14:paraId="67B0CBB4" w14:textId="1C640F89" w:rsidR="00C575DD" w:rsidRPr="00DA7A57" w:rsidRDefault="00C575DD" w:rsidP="000C2992">
      <w:pPr>
        <w:pStyle w:val="Notedebasdepage"/>
        <w:rPr>
          <w:lang w:val="en-CA"/>
        </w:rPr>
      </w:pPr>
      <w:r w:rsidRPr="00DA7A57">
        <w:rPr>
          <w:rStyle w:val="Appelnotedebasdep"/>
        </w:rPr>
        <w:footnoteRef/>
      </w:r>
      <w:r w:rsidRPr="00DA7A57">
        <w:rPr>
          <w:lang w:val="en-CA"/>
        </w:rPr>
        <w:t xml:space="preserve"> </w:t>
      </w:r>
      <w:r w:rsidR="000C2992" w:rsidRPr="00DA7A57">
        <w:rPr>
          <w:lang w:val="en-CA"/>
        </w:rPr>
        <w:tab/>
      </w:r>
      <w:r w:rsidRPr="00DA7A57">
        <w:rPr>
          <w:i/>
          <w:lang w:val="en-CA"/>
        </w:rPr>
        <w:t>EPTC2</w:t>
      </w:r>
      <w:r w:rsidRPr="00DA7A57">
        <w:rPr>
          <w:lang w:val="en-CA"/>
        </w:rPr>
        <w:t>, art. 2.2.</w:t>
      </w:r>
    </w:p>
  </w:footnote>
  <w:footnote w:id="3">
    <w:p w14:paraId="6CCEADEC" w14:textId="45B4C76C" w:rsidR="00C575DD" w:rsidRPr="00DA7A57" w:rsidRDefault="00C575DD" w:rsidP="000C2992">
      <w:pPr>
        <w:pStyle w:val="Notedebasdepage"/>
        <w:rPr>
          <w:lang w:val="en-CA"/>
        </w:rPr>
      </w:pPr>
      <w:r w:rsidRPr="00DA7A57">
        <w:rPr>
          <w:rStyle w:val="Appelnotedebasdep"/>
        </w:rPr>
        <w:footnoteRef/>
      </w:r>
      <w:r w:rsidRPr="00DA7A57">
        <w:rPr>
          <w:lang w:val="en-CA"/>
        </w:rPr>
        <w:t xml:space="preserve"> </w:t>
      </w:r>
      <w:r w:rsidR="000C2992" w:rsidRPr="00DA7A57">
        <w:rPr>
          <w:lang w:val="en-CA"/>
        </w:rPr>
        <w:tab/>
      </w:r>
      <w:r w:rsidRPr="00DA7A57">
        <w:rPr>
          <w:i/>
          <w:lang w:val="en-CA"/>
        </w:rPr>
        <w:t>EPTC2</w:t>
      </w:r>
      <w:r w:rsidRPr="00DA7A57">
        <w:rPr>
          <w:lang w:val="en-CA"/>
        </w:rPr>
        <w:t>, art. 2.3.</w:t>
      </w:r>
    </w:p>
  </w:footnote>
  <w:footnote w:id="4">
    <w:p w14:paraId="34FDECDA" w14:textId="43534D1B" w:rsidR="00BE552F" w:rsidRPr="00DA7A57" w:rsidRDefault="00BE552F" w:rsidP="000C2992">
      <w:pPr>
        <w:pStyle w:val="Notedebasdepage"/>
        <w:rPr>
          <w:lang w:val="en-CA"/>
        </w:rPr>
      </w:pPr>
      <w:r w:rsidRPr="00DA7A57">
        <w:rPr>
          <w:rStyle w:val="Appelnotedebasdep"/>
        </w:rPr>
        <w:footnoteRef/>
      </w:r>
      <w:r w:rsidRPr="00DA7A57">
        <w:rPr>
          <w:lang w:val="en-CA"/>
        </w:rPr>
        <w:t xml:space="preserve"> </w:t>
      </w:r>
      <w:r w:rsidR="000C2992" w:rsidRPr="00DA7A57">
        <w:rPr>
          <w:lang w:val="en-CA"/>
        </w:rPr>
        <w:tab/>
      </w:r>
      <w:r w:rsidRPr="00DA7A57">
        <w:rPr>
          <w:i/>
          <w:lang w:val="en-CA"/>
        </w:rPr>
        <w:t>EPTC2</w:t>
      </w:r>
      <w:r w:rsidRPr="00DA7A57">
        <w:rPr>
          <w:lang w:val="en-CA"/>
        </w:rPr>
        <w:t>, art. 2.4.</w:t>
      </w:r>
    </w:p>
  </w:footnote>
  <w:footnote w:id="5">
    <w:p w14:paraId="3E2C210C" w14:textId="6CE5401F" w:rsidR="00BE552F" w:rsidRPr="00DA7A57" w:rsidRDefault="00BE552F" w:rsidP="000C2992">
      <w:pPr>
        <w:pStyle w:val="Notedebasdepage"/>
        <w:rPr>
          <w:lang w:val="en-US"/>
        </w:rPr>
      </w:pPr>
      <w:r w:rsidRPr="00DA7A57">
        <w:rPr>
          <w:rStyle w:val="Appelnotedebasdep"/>
        </w:rPr>
        <w:footnoteRef/>
      </w:r>
      <w:r w:rsidRPr="00DA7A57">
        <w:rPr>
          <w:lang w:val="en-US"/>
        </w:rPr>
        <w:t xml:space="preserve"> </w:t>
      </w:r>
      <w:r w:rsidR="000C2992" w:rsidRPr="00DA7A57">
        <w:rPr>
          <w:lang w:val="en-US"/>
        </w:rPr>
        <w:tab/>
      </w:r>
      <w:r w:rsidRPr="00DA7A57">
        <w:rPr>
          <w:i/>
          <w:lang w:val="en-US"/>
        </w:rPr>
        <w:t>EPTC2</w:t>
      </w:r>
      <w:r w:rsidRPr="00DA7A57">
        <w:rPr>
          <w:lang w:val="en-US"/>
        </w:rPr>
        <w:t>, p.</w:t>
      </w:r>
      <w:r w:rsidR="00DC6E5F" w:rsidRPr="00DA7A57">
        <w:rPr>
          <w:lang w:val="en-US"/>
        </w:rPr>
        <w:t> </w:t>
      </w:r>
      <w:r w:rsidRPr="00DA7A57">
        <w:rPr>
          <w:lang w:val="en-US"/>
        </w:rPr>
        <w:t>15.</w:t>
      </w:r>
    </w:p>
  </w:footnote>
  <w:footnote w:id="6">
    <w:p w14:paraId="05941130" w14:textId="40EC1EF6" w:rsidR="00BE552F" w:rsidRPr="00DA7A57" w:rsidRDefault="00BE552F" w:rsidP="000C2992">
      <w:pPr>
        <w:pStyle w:val="Notedebasdepage"/>
        <w:rPr>
          <w:lang w:val="en-CA"/>
        </w:rPr>
      </w:pPr>
      <w:r w:rsidRPr="00DA7A57">
        <w:rPr>
          <w:rStyle w:val="Appelnotedebasdep"/>
        </w:rPr>
        <w:footnoteRef/>
      </w:r>
      <w:r w:rsidRPr="00DA7A57">
        <w:rPr>
          <w:lang w:val="en-CA"/>
        </w:rPr>
        <w:t xml:space="preserve"> </w:t>
      </w:r>
      <w:r w:rsidR="000C2992" w:rsidRPr="00DA7A57">
        <w:rPr>
          <w:lang w:val="en-CA"/>
        </w:rPr>
        <w:tab/>
      </w:r>
      <w:r w:rsidRPr="00DA7A57">
        <w:rPr>
          <w:i/>
          <w:lang w:val="en-CA"/>
        </w:rPr>
        <w:t>EPTC2</w:t>
      </w:r>
      <w:r w:rsidRPr="00DA7A57">
        <w:rPr>
          <w:lang w:val="en-CA"/>
        </w:rPr>
        <w:t>, art. 2.5.</w:t>
      </w:r>
    </w:p>
  </w:footnote>
  <w:footnote w:id="7">
    <w:p w14:paraId="674C7F0B" w14:textId="3D6C951D" w:rsidR="00BE552F" w:rsidRPr="00DA7A57" w:rsidRDefault="00BE552F" w:rsidP="000C2992">
      <w:pPr>
        <w:pStyle w:val="Notedebasdepage"/>
        <w:rPr>
          <w:lang w:val="en-CA"/>
        </w:rPr>
      </w:pPr>
      <w:r w:rsidRPr="00DA7A57">
        <w:rPr>
          <w:rStyle w:val="Appelnotedebasdep"/>
        </w:rPr>
        <w:footnoteRef/>
      </w:r>
      <w:r w:rsidRPr="00DA7A57">
        <w:rPr>
          <w:lang w:val="en-CA"/>
        </w:rPr>
        <w:t xml:space="preserve"> </w:t>
      </w:r>
      <w:r w:rsidR="000C2992" w:rsidRPr="00DA7A57">
        <w:rPr>
          <w:lang w:val="en-CA"/>
        </w:rPr>
        <w:tab/>
      </w:r>
      <w:r w:rsidRPr="00DA7A57">
        <w:rPr>
          <w:i/>
          <w:lang w:val="en-CA"/>
        </w:rPr>
        <w:t>EPTC2</w:t>
      </w:r>
      <w:r w:rsidRPr="00DA7A57">
        <w:rPr>
          <w:lang w:val="en-CA"/>
        </w:rPr>
        <w:t>, art. 2.6.</w:t>
      </w:r>
    </w:p>
  </w:footnote>
  <w:footnote w:id="8">
    <w:p w14:paraId="0259F920" w14:textId="09A159E6" w:rsidR="00BE552F" w:rsidRPr="00DA7A57" w:rsidRDefault="00BE552F" w:rsidP="000C2992">
      <w:pPr>
        <w:pStyle w:val="Notedebasdepage"/>
        <w:rPr>
          <w:lang w:val="en-CA"/>
        </w:rPr>
      </w:pPr>
      <w:r w:rsidRPr="00DA7A57">
        <w:rPr>
          <w:rStyle w:val="Appelnotedebasdep"/>
        </w:rPr>
        <w:footnoteRef/>
      </w:r>
      <w:r w:rsidRPr="00DA7A57">
        <w:rPr>
          <w:lang w:val="en-CA"/>
        </w:rPr>
        <w:t xml:space="preserve"> </w:t>
      </w:r>
      <w:r w:rsidR="000C2992" w:rsidRPr="00DA7A57">
        <w:rPr>
          <w:lang w:val="en-CA"/>
        </w:rPr>
        <w:tab/>
      </w:r>
      <w:r w:rsidRPr="00DA7A57">
        <w:rPr>
          <w:i/>
          <w:lang w:val="en-CA"/>
        </w:rPr>
        <w:t>EPTC2</w:t>
      </w:r>
      <w:r w:rsidRPr="00DA7A57">
        <w:rPr>
          <w:lang w:val="en-CA"/>
        </w:rPr>
        <w:t>, art. 6.11.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2922" w14:textId="77777777" w:rsidR="00DC6E5F" w:rsidRDefault="00DC6E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9B">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735"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0EC38B83" w:rsidR="0030269A" w:rsidRPr="00ED30D3" w:rsidRDefault="00ED30D3" w:rsidP="00DD1A74">
          <w:pPr>
            <w:spacing w:before="0" w:after="0"/>
            <w:jc w:val="right"/>
            <w:rPr>
              <w:sz w:val="32"/>
              <w:szCs w:val="32"/>
            </w:rPr>
          </w:pPr>
          <w:r w:rsidRPr="00ED30D3">
            <w:rPr>
              <w:sz w:val="32"/>
              <w:szCs w:val="32"/>
            </w:rPr>
            <w:t>MON-CÉR</w:t>
          </w:r>
          <w:r w:rsidR="00DC6E5F">
            <w:rPr>
              <w:sz w:val="32"/>
              <w:szCs w:val="32"/>
            </w:rPr>
            <w:t> </w:t>
          </w:r>
          <w:r w:rsidR="00DD1A74" w:rsidRPr="00DD1A74">
            <w:rPr>
              <w:sz w:val="32"/>
              <w:szCs w:val="32"/>
            </w:rPr>
            <w:t>102.001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E8E7" w14:textId="77777777" w:rsidR="00DC6E5F" w:rsidRDefault="00DC6E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1243E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FCFE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0A7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D0F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11244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3" w15:restartNumberingAfterBreak="0">
    <w:nsid w:val="74B04205"/>
    <w:multiLevelType w:val="hybridMultilevel"/>
    <w:tmpl w:val="F03CD384"/>
    <w:lvl w:ilvl="0" w:tplc="CA1897A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9"/>
  </w:num>
  <w:num w:numId="3">
    <w:abstractNumId w:val="22"/>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8"/>
  </w:num>
  <w:num w:numId="15">
    <w:abstractNumId w:val="17"/>
  </w:num>
  <w:num w:numId="16">
    <w:abstractNumId w:val="11"/>
  </w:num>
  <w:num w:numId="17">
    <w:abstractNumId w:val="10"/>
  </w:num>
  <w:num w:numId="18">
    <w:abstractNumId w:val="21"/>
  </w:num>
  <w:num w:numId="19">
    <w:abstractNumId w:val="15"/>
  </w:num>
  <w:num w:numId="20">
    <w:abstractNumId w:val="13"/>
  </w:num>
  <w:num w:numId="21">
    <w:abstractNumId w:val="12"/>
  </w:num>
  <w:num w:numId="22">
    <w:abstractNumId w:val="20"/>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47C05"/>
    <w:rsid w:val="00066BD6"/>
    <w:rsid w:val="000951B5"/>
    <w:rsid w:val="000C2992"/>
    <w:rsid w:val="000C4166"/>
    <w:rsid w:val="001159A3"/>
    <w:rsid w:val="00155FC1"/>
    <w:rsid w:val="001845EF"/>
    <w:rsid w:val="001D06CA"/>
    <w:rsid w:val="00201CCD"/>
    <w:rsid w:val="00283978"/>
    <w:rsid w:val="002B5BA5"/>
    <w:rsid w:val="002B5EA6"/>
    <w:rsid w:val="002E18ED"/>
    <w:rsid w:val="002E750D"/>
    <w:rsid w:val="0030269A"/>
    <w:rsid w:val="0032222C"/>
    <w:rsid w:val="00347179"/>
    <w:rsid w:val="00381E3D"/>
    <w:rsid w:val="00386EA4"/>
    <w:rsid w:val="00407B78"/>
    <w:rsid w:val="004137F8"/>
    <w:rsid w:val="00436FC1"/>
    <w:rsid w:val="004374F7"/>
    <w:rsid w:val="00444D39"/>
    <w:rsid w:val="00456D7C"/>
    <w:rsid w:val="0047642D"/>
    <w:rsid w:val="0048571B"/>
    <w:rsid w:val="00496521"/>
    <w:rsid w:val="004A5933"/>
    <w:rsid w:val="004C716A"/>
    <w:rsid w:val="004D19DB"/>
    <w:rsid w:val="004D771A"/>
    <w:rsid w:val="00563BFE"/>
    <w:rsid w:val="00576EA3"/>
    <w:rsid w:val="0059613B"/>
    <w:rsid w:val="005C6C23"/>
    <w:rsid w:val="006636E1"/>
    <w:rsid w:val="006679F4"/>
    <w:rsid w:val="00672054"/>
    <w:rsid w:val="006A4376"/>
    <w:rsid w:val="00753239"/>
    <w:rsid w:val="00756C58"/>
    <w:rsid w:val="0081179B"/>
    <w:rsid w:val="00841D29"/>
    <w:rsid w:val="00881111"/>
    <w:rsid w:val="00887921"/>
    <w:rsid w:val="008A587F"/>
    <w:rsid w:val="008A79C7"/>
    <w:rsid w:val="008E5297"/>
    <w:rsid w:val="009754E0"/>
    <w:rsid w:val="00986A54"/>
    <w:rsid w:val="009B06BB"/>
    <w:rsid w:val="009C5F10"/>
    <w:rsid w:val="009F2FF8"/>
    <w:rsid w:val="009F52A8"/>
    <w:rsid w:val="00A147B4"/>
    <w:rsid w:val="00A26CA7"/>
    <w:rsid w:val="00A346BE"/>
    <w:rsid w:val="00A967C9"/>
    <w:rsid w:val="00AE2A2B"/>
    <w:rsid w:val="00AF4A18"/>
    <w:rsid w:val="00B239E4"/>
    <w:rsid w:val="00B26615"/>
    <w:rsid w:val="00B66BD6"/>
    <w:rsid w:val="00B85A9E"/>
    <w:rsid w:val="00BE552F"/>
    <w:rsid w:val="00C2027E"/>
    <w:rsid w:val="00C47789"/>
    <w:rsid w:val="00C575DD"/>
    <w:rsid w:val="00CC4E39"/>
    <w:rsid w:val="00CE63B7"/>
    <w:rsid w:val="00D3761E"/>
    <w:rsid w:val="00D67F93"/>
    <w:rsid w:val="00D70FB5"/>
    <w:rsid w:val="00DA7A57"/>
    <w:rsid w:val="00DC2BA3"/>
    <w:rsid w:val="00DC6131"/>
    <w:rsid w:val="00DC6E5F"/>
    <w:rsid w:val="00DD1A74"/>
    <w:rsid w:val="00EC012C"/>
    <w:rsid w:val="00EC101E"/>
    <w:rsid w:val="00ED30D3"/>
    <w:rsid w:val="00F073C0"/>
    <w:rsid w:val="00F374D7"/>
    <w:rsid w:val="00F443B2"/>
    <w:rsid w:val="00F82638"/>
    <w:rsid w:val="00FC2AB8"/>
    <w:rsid w:val="00FC636C"/>
    <w:rsid w:val="03F202A9"/>
    <w:rsid w:val="2399C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2F"/>
    <w:pPr>
      <w:spacing w:before="240" w:after="240"/>
      <w:jc w:val="both"/>
    </w:pPr>
    <w:rPr>
      <w:sz w:val="22"/>
      <w:szCs w:val="22"/>
      <w:lang w:val="fr-CA"/>
    </w:rPr>
  </w:style>
  <w:style w:type="paragraph" w:styleId="Titre1">
    <w:name w:val="heading 1"/>
    <w:basedOn w:val="Normal"/>
    <w:next w:val="Normal"/>
    <w:link w:val="Titre1Car"/>
    <w:uiPriority w:val="9"/>
    <w:qFormat/>
    <w:rsid w:val="00F073C0"/>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3C0"/>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576EA3"/>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C2992"/>
    <w:pPr>
      <w:widowControl w:val="0"/>
      <w:tabs>
        <w:tab w:val="left" w:pos="284"/>
      </w:tabs>
      <w:autoSpaceDE w:val="0"/>
      <w:autoSpaceDN w:val="0"/>
      <w:adjustRightInd w:val="0"/>
      <w:spacing w:before="0" w:after="0"/>
      <w:ind w:left="284" w:hanging="284"/>
    </w:pPr>
    <w:rPr>
      <w:rFonts w:eastAsiaTheme="minorEastAsia" w:cstheme="minorHAnsi"/>
      <w:sz w:val="20"/>
      <w:szCs w:val="20"/>
      <w:lang w:eastAsia="fr-CA"/>
    </w:rPr>
  </w:style>
  <w:style w:type="character" w:customStyle="1" w:styleId="NotedebasdepageCar">
    <w:name w:val="Note de bas de page Car"/>
    <w:basedOn w:val="Policepardfaut"/>
    <w:link w:val="Notedebasdepage"/>
    <w:uiPriority w:val="99"/>
    <w:rsid w:val="000C2992"/>
    <w:rPr>
      <w:rFonts w:eastAsiaTheme="minorEastAsia" w:cstheme="minorHAnsi"/>
      <w:sz w:val="20"/>
      <w:szCs w:val="20"/>
      <w:lang w:val="fr-CA" w:eastAsia="fr-CA"/>
    </w:rPr>
  </w:style>
  <w:style w:type="character" w:styleId="Appelnotedebasdep">
    <w:name w:val="footnote reference"/>
    <w:basedOn w:val="Policepardfaut"/>
    <w:uiPriority w:val="99"/>
    <w:semiHidden/>
    <w:unhideWhenUsed/>
    <w:rsid w:val="00C575DD"/>
    <w:rPr>
      <w:vertAlign w:val="superscript"/>
    </w:rPr>
  </w:style>
  <w:style w:type="paragraph" w:styleId="Corpsdetexte">
    <w:name w:val="Body Text"/>
    <w:basedOn w:val="Normal"/>
    <w:link w:val="CorpsdetexteCar"/>
    <w:uiPriority w:val="1"/>
    <w:qFormat/>
    <w:rsid w:val="00BE552F"/>
    <w:pPr>
      <w:widowControl w:val="0"/>
      <w:autoSpaceDE w:val="0"/>
      <w:autoSpaceDN w:val="0"/>
      <w:adjustRightInd w:val="0"/>
      <w:spacing w:before="0" w:after="0"/>
      <w:ind w:left="140"/>
      <w:jc w:val="left"/>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BE552F"/>
    <w:rPr>
      <w:rFonts w:ascii="Arial" w:eastAsiaTheme="minorEastAsia" w:hAnsi="Arial" w:cs="Arial"/>
      <w:lang w:val="fr-CA" w:eastAsia="fr-CA"/>
    </w:rPr>
  </w:style>
  <w:style w:type="paragraph" w:customStyle="1" w:styleId="Header5">
    <w:name w:val="Header 5"/>
    <w:basedOn w:val="Normal"/>
    <w:qFormat/>
    <w:rsid w:val="00BE5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3453-B5C5-4817-9959-03379A20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792</Words>
  <Characters>4357</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22</cp:revision>
  <dcterms:created xsi:type="dcterms:W3CDTF">2019-03-04T22:41:00Z</dcterms:created>
  <dcterms:modified xsi:type="dcterms:W3CDTF">2020-03-03T15:32:00Z</dcterms:modified>
</cp:coreProperties>
</file>